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BA" w:rsidRDefault="00B92BBA" w:rsidP="00B92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BB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7E6024" wp14:editId="593AFEC6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51" w:rsidRDefault="00287CC6" w:rsidP="00287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86 миллионов сведений о недвижимости выдано за 10 месяцев этого года </w:t>
      </w:r>
    </w:p>
    <w:p w:rsidR="00A32C84" w:rsidRDefault="00287CC6" w:rsidP="00A32C8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кадастровая палата подвела итоги предоставления сведений </w:t>
      </w:r>
      <w:proofErr w:type="spellStart"/>
      <w:r w:rsidRPr="00287CC6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за 10 месяцев 2019 года. Всего за этот период Кадастровая палата выдала б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олее 86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млн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За аналогичный период прошлого года было выдано немногим более 62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млн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выписок. Таким образом, рост спроса на получение сведений о недвижимости составил 38,8 %.</w:t>
      </w:r>
    </w:p>
    <w:p w:rsidR="00C5222E" w:rsidRPr="00A275C5" w:rsidRDefault="00C5222E" w:rsidP="006E52E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Из всего объема </w:t>
      </w:r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>80 млн</w:t>
      </w:r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выписок из ЕГРН было предоставлено заявителям в электронном виде.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>ы можем вполне уверенно говорить о том, что электронный формат выдачи сведений наиболее востребован всеми заинтересованными лицами - как физическими, так и юридическими. Поэтому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дальнейшее развитие электронных сервисов будет направлено на повышение скорости выдачи и удобство их использования. Например, только в первый месяц работы нового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-сервиса Кадастровой палаты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>более десяти тысяч</w:t>
      </w:r>
      <w:r w:rsidR="006E52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 смогли получить сведения фактически онлайн», - </w:t>
      </w:r>
      <w:r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глава Федеральной кадастровой палаты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Парвиз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Тухтасунов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56351" w:rsidRDefault="00E56351" w:rsidP="00E563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по предоставлению сведений в электронном формате стали филиалы по Москве (выдано почти 4,</w:t>
      </w:r>
      <w:r w:rsidR="005E1C4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млн сведений), Московской области (около 4</w:t>
      </w:r>
      <w:r w:rsidR="005E1C49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млн сведений), Санкт-Петербургу (около </w:t>
      </w:r>
      <w:r w:rsidR="006E52E3">
        <w:rPr>
          <w:rFonts w:ascii="Times New Roman" w:hAnsi="Times New Roman" w:cs="Times New Roman"/>
          <w:sz w:val="28"/>
          <w:szCs w:val="28"/>
        </w:rPr>
        <w:t>3,</w:t>
      </w:r>
      <w:r w:rsidR="005E1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 сведений), Республике Башкортостан (2,1 млн), Уральскому федеральному округу (</w:t>
      </w:r>
      <w:r w:rsidR="007F3B71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1,7 млн).</w:t>
      </w:r>
    </w:p>
    <w:p w:rsidR="00287CC6" w:rsidRDefault="00E56351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популярной остается выписка о правах отдельного лица на имеющиеся у него объекты недвижимости: за 1</w:t>
      </w:r>
      <w:r w:rsidR="00A32C84">
        <w:rPr>
          <w:rFonts w:ascii="Times New Roman" w:hAnsi="Times New Roman" w:cs="Times New Roman"/>
          <w:sz w:val="28"/>
          <w:szCs w:val="28"/>
        </w:rPr>
        <w:t>0 месяцев было выдано</w:t>
      </w:r>
      <w:r w:rsidR="00203E90">
        <w:rPr>
          <w:rFonts w:ascii="Times New Roman" w:hAnsi="Times New Roman" w:cs="Times New Roman"/>
          <w:sz w:val="28"/>
          <w:szCs w:val="28"/>
        </w:rPr>
        <w:t xml:space="preserve"> </w:t>
      </w:r>
      <w:r w:rsidR="005E1C4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32C84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таких выписок. Также сохраняется </w:t>
      </w:r>
      <w:r w:rsidR="005E1C49">
        <w:rPr>
          <w:rFonts w:ascii="Times New Roman" w:hAnsi="Times New Roman" w:cs="Times New Roman"/>
          <w:sz w:val="28"/>
          <w:szCs w:val="28"/>
        </w:rPr>
        <w:t xml:space="preserve">стабильная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сведений </w:t>
      </w:r>
      <w:r w:rsidRPr="00E87EC5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правах на объект недвижимости: выдано почти 18 млн сведений</w:t>
      </w:r>
      <w:r w:rsidRPr="0021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период. </w:t>
      </w:r>
      <w:r w:rsidR="009266E9">
        <w:rPr>
          <w:rFonts w:ascii="Times New Roman" w:hAnsi="Times New Roman" w:cs="Times New Roman"/>
          <w:sz w:val="28"/>
          <w:szCs w:val="28"/>
        </w:rPr>
        <w:t>Кроме того, за 10 месяцев 2019 года Кадастровая палата выдала около 6,5 млн выписок об объекте недвижимости, более 2 млн выписок о переходе права собственности на объект недвижимости и почти 2 млн кадастровых планов территории.</w:t>
      </w:r>
    </w:p>
    <w:p w:rsidR="00426519" w:rsidRDefault="003327C8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C8" w:rsidRDefault="00426519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9">
        <w:rPr>
          <w:rFonts w:ascii="Times New Roman" w:hAnsi="Times New Roman" w:cs="Times New Roman"/>
          <w:sz w:val="28"/>
          <w:szCs w:val="28"/>
        </w:rPr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 w:rsidR="003133E3" w:rsidRPr="003133E3">
        <w:t xml:space="preserve"> </w:t>
      </w:r>
      <w:r w:rsidR="003133E3" w:rsidRPr="003133E3">
        <w:rPr>
          <w:rFonts w:ascii="Times New Roman" w:hAnsi="Times New Roman" w:cs="Times New Roman"/>
          <w:sz w:val="28"/>
          <w:szCs w:val="28"/>
        </w:rPr>
        <w:t>Важно отметить, что в рамках выдачи общедоступной информации у третьих лиц не окажутся персо</w:t>
      </w:r>
      <w:r w:rsidR="00B92BBA">
        <w:rPr>
          <w:rFonts w:ascii="Times New Roman" w:hAnsi="Times New Roman" w:cs="Times New Roman"/>
          <w:sz w:val="28"/>
          <w:szCs w:val="28"/>
        </w:rPr>
        <w:t>нальные данные собственников.</w:t>
      </w:r>
    </w:p>
    <w:p w:rsidR="008C75D2" w:rsidRDefault="009266E9" w:rsidP="00B92B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онлайн осенью 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2019 года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адастровая палата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 пилотном режиме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7E061E" w:rsidRPr="00E563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запустила</w:t>
        </w:r>
      </w:hyperlink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сервис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работает для объектов регионов, перешедших на ФГИС ЕГРН. Позже к сервису была подключена Калужская область. </w:t>
      </w:r>
      <w:r w:rsidR="007E061E" w:rsidRPr="00E56351">
        <w:rPr>
          <w:rFonts w:ascii="Times New Roman" w:hAnsi="Times New Roman" w:cs="Times New Roman"/>
          <w:sz w:val="28"/>
          <w:szCs w:val="28"/>
        </w:rPr>
        <w:t>С переходом всех субъектов на ЕГРН платформа станет доступ</w:t>
      </w:r>
      <w:r w:rsidR="00595773" w:rsidRPr="00E56351">
        <w:rPr>
          <w:rFonts w:ascii="Times New Roman" w:hAnsi="Times New Roman" w:cs="Times New Roman"/>
          <w:sz w:val="28"/>
          <w:szCs w:val="28"/>
        </w:rPr>
        <w:t xml:space="preserve">на для объектов по всей стране. </w:t>
      </w:r>
    </w:p>
    <w:p w:rsidR="00B92BBA" w:rsidRPr="00B92BBA" w:rsidRDefault="00B92BBA" w:rsidP="00B92B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92BBA" w:rsidRPr="00B92BBA" w:rsidRDefault="00B92BBA" w:rsidP="00B92BBA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r w:rsidRPr="00B92BBA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p w:rsidR="00B92BBA" w:rsidRPr="00B92BBA" w:rsidRDefault="00B92BBA" w:rsidP="00B92B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2BBA" w:rsidRPr="00B9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CA"/>
    <w:rsid w:val="00203E90"/>
    <w:rsid w:val="00205725"/>
    <w:rsid w:val="00211E5B"/>
    <w:rsid w:val="00287CC6"/>
    <w:rsid w:val="002A2C6E"/>
    <w:rsid w:val="003133E3"/>
    <w:rsid w:val="003327C8"/>
    <w:rsid w:val="003B0DC6"/>
    <w:rsid w:val="00426519"/>
    <w:rsid w:val="004F31BE"/>
    <w:rsid w:val="004F3A7A"/>
    <w:rsid w:val="0058288B"/>
    <w:rsid w:val="00595773"/>
    <w:rsid w:val="005E1C49"/>
    <w:rsid w:val="006A5876"/>
    <w:rsid w:val="006E52E3"/>
    <w:rsid w:val="00724E21"/>
    <w:rsid w:val="007714F8"/>
    <w:rsid w:val="007C1D07"/>
    <w:rsid w:val="007E061E"/>
    <w:rsid w:val="007E11AF"/>
    <w:rsid w:val="007F3B71"/>
    <w:rsid w:val="009266E9"/>
    <w:rsid w:val="00A275C5"/>
    <w:rsid w:val="00A32C84"/>
    <w:rsid w:val="00B55BCA"/>
    <w:rsid w:val="00B92BBA"/>
    <w:rsid w:val="00C5222E"/>
    <w:rsid w:val="00C87103"/>
    <w:rsid w:val="00CB023A"/>
    <w:rsid w:val="00D76069"/>
    <w:rsid w:val="00E3564E"/>
    <w:rsid w:val="00E56351"/>
    <w:rsid w:val="00E87EC5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9616@fkpNewsReg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4</cp:revision>
  <dcterms:created xsi:type="dcterms:W3CDTF">2019-11-27T13:14:00Z</dcterms:created>
  <dcterms:modified xsi:type="dcterms:W3CDTF">2019-12-16T04:28:00Z</dcterms:modified>
</cp:coreProperties>
</file>