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E8" w:rsidRDefault="000F22E8" w:rsidP="000F22E8">
      <w:pPr>
        <w:contextualSpacing/>
        <w:jc w:val="right"/>
      </w:pPr>
    </w:p>
    <w:p w:rsidR="000F22E8" w:rsidRPr="002565F8" w:rsidRDefault="000F22E8" w:rsidP="000F22E8">
      <w:pPr>
        <w:contextualSpacing/>
        <w:jc w:val="center"/>
        <w:rPr>
          <w:sz w:val="10"/>
          <w:szCs w:val="10"/>
        </w:rPr>
      </w:pPr>
    </w:p>
    <w:tbl>
      <w:tblPr>
        <w:tblW w:w="4894" w:type="pct"/>
        <w:tblInd w:w="108" w:type="dxa"/>
        <w:tblBorders>
          <w:top w:val="single" w:sz="4" w:space="0" w:color="auto"/>
          <w:bottom w:val="single" w:sz="4" w:space="0" w:color="auto"/>
        </w:tblBorders>
        <w:tblLook w:val="04A0" w:firstRow="1" w:lastRow="0" w:firstColumn="1" w:lastColumn="0" w:noHBand="0" w:noVBand="1"/>
      </w:tblPr>
      <w:tblGrid>
        <w:gridCol w:w="9368"/>
      </w:tblGrid>
      <w:tr w:rsidR="000F22E8" w:rsidRPr="00455054" w:rsidTr="006E6EF1">
        <w:tc>
          <w:tcPr>
            <w:tcW w:w="5000" w:type="pct"/>
            <w:tcBorders>
              <w:top w:val="thickThinSmallGap" w:sz="18" w:space="0" w:color="auto"/>
              <w:bottom w:val="thinThickSmallGap" w:sz="18" w:space="0" w:color="auto"/>
            </w:tcBorders>
          </w:tcPr>
          <w:p w:rsidR="000F22E8" w:rsidRPr="00CC6B55" w:rsidRDefault="000F22E8" w:rsidP="006E6EF1">
            <w:pPr>
              <w:contextualSpacing/>
              <w:jc w:val="center"/>
              <w:rPr>
                <w:rFonts w:eastAsia="Arial Unicode MS"/>
                <w:spacing w:val="-4"/>
                <w:sz w:val="20"/>
                <w:szCs w:val="20"/>
              </w:rPr>
            </w:pPr>
          </w:p>
          <w:p w:rsidR="000F22E8" w:rsidRPr="00CC6B55" w:rsidRDefault="000F22E8" w:rsidP="006E6EF1">
            <w:pPr>
              <w:contextualSpacing/>
              <w:jc w:val="center"/>
              <w:rPr>
                <w:b/>
                <w:spacing w:val="8"/>
              </w:rPr>
            </w:pPr>
            <w:r w:rsidRPr="00CC6B55">
              <w:rPr>
                <w:rFonts w:eastAsia="Arial Unicode MS"/>
                <w:b/>
                <w:spacing w:val="-4"/>
                <w:sz w:val="56"/>
                <w:szCs w:val="56"/>
              </w:rPr>
              <w:t>П Р О К У Р А Т У Р А</w:t>
            </w:r>
          </w:p>
          <w:p w:rsidR="000F22E8" w:rsidRPr="00456ECC" w:rsidRDefault="000F22E8" w:rsidP="006E6EF1">
            <w:pPr>
              <w:contextualSpacing/>
              <w:jc w:val="center"/>
              <w:rPr>
                <w:b/>
                <w:color w:val="000000"/>
                <w:spacing w:val="8"/>
              </w:rPr>
            </w:pPr>
            <w:r w:rsidRPr="00456ECC">
              <w:rPr>
                <w:b/>
                <w:color w:val="000000"/>
                <w:spacing w:val="8"/>
              </w:rPr>
              <w:t>Прокуратура Октябрьского района</w:t>
            </w:r>
          </w:p>
          <w:p w:rsidR="000F22E8" w:rsidRPr="00CC6B55" w:rsidRDefault="000F22E8" w:rsidP="006E6EF1">
            <w:pPr>
              <w:contextualSpacing/>
              <w:jc w:val="center"/>
              <w:rPr>
                <w:sz w:val="20"/>
                <w:szCs w:val="20"/>
              </w:rPr>
            </w:pPr>
          </w:p>
        </w:tc>
      </w:tr>
    </w:tbl>
    <w:p w:rsidR="000F22E8" w:rsidRPr="00E26A1D" w:rsidRDefault="000F22E8" w:rsidP="000F22E8">
      <w:pPr>
        <w:contextualSpacing/>
        <w:rPr>
          <w:b/>
          <w:sz w:val="20"/>
          <w:szCs w:val="20"/>
          <w:u w:val="single"/>
        </w:rPr>
      </w:pPr>
    </w:p>
    <w:p w:rsidR="000F22E8" w:rsidRPr="00E92523" w:rsidRDefault="000F22E8" w:rsidP="000F22E8">
      <w:pPr>
        <w:contextualSpacing/>
        <w:rPr>
          <w:sz w:val="30"/>
          <w:szCs w:val="30"/>
        </w:rPr>
      </w:pPr>
      <w:r w:rsidRPr="005C7ADF">
        <w:rPr>
          <w:b/>
          <w:u w:val="single"/>
        </w:rPr>
        <w:t>Пресс-релиз</w:t>
      </w:r>
    </w:p>
    <w:p w:rsidR="00E92BC8" w:rsidRDefault="00E92BC8" w:rsidP="000F22E8"/>
    <w:p w:rsidR="00F90AD1" w:rsidRPr="00F90AD1" w:rsidRDefault="00A04C75" w:rsidP="00A04C75">
      <w:pPr>
        <w:jc w:val="both"/>
        <w:rPr>
          <w:b/>
        </w:rPr>
      </w:pPr>
      <w:r>
        <w:rPr>
          <w:b/>
        </w:rPr>
        <w:t>М</w:t>
      </w:r>
      <w:r w:rsidRPr="00A04C75">
        <w:rPr>
          <w:b/>
        </w:rPr>
        <w:t>ошенничество</w:t>
      </w:r>
      <w:r>
        <w:rPr>
          <w:b/>
        </w:rPr>
        <w:t xml:space="preserve"> с использованием информационно </w:t>
      </w:r>
      <w:r w:rsidRPr="00A04C75">
        <w:rPr>
          <w:b/>
        </w:rPr>
        <w:t>телекоммуникационных технологий</w:t>
      </w:r>
    </w:p>
    <w:p w:rsidR="00A04C75" w:rsidRDefault="00A04C75" w:rsidP="00A04C75">
      <w:pPr>
        <w:ind w:firstLine="709"/>
        <w:jc w:val="both"/>
      </w:pPr>
    </w:p>
    <w:p w:rsidR="00B93155" w:rsidRDefault="00B93155" w:rsidP="00A04C75">
      <w:pPr>
        <w:ind w:firstLine="709"/>
        <w:jc w:val="both"/>
      </w:pPr>
      <w:r>
        <w:t xml:space="preserve">Анализ </w:t>
      </w:r>
      <w:r w:rsidR="003D4EDB">
        <w:t>преступности показал, что на территории Октябрьского района в истекшем периоде 2020 года значительно возросло количество преступлений</w:t>
      </w:r>
      <w:r w:rsidR="00A04C75">
        <w:t>,</w:t>
      </w:r>
      <w:r w:rsidR="003D4EDB">
        <w:t xml:space="preserve"> связанных </w:t>
      </w:r>
      <w:r w:rsidR="003D4EDB" w:rsidRPr="00A04C75">
        <w:t>с мошенничество</w:t>
      </w:r>
      <w:r w:rsidR="00A04C75" w:rsidRPr="00A04C75">
        <w:t>м</w:t>
      </w:r>
      <w:r w:rsidR="00A04C75">
        <w:t xml:space="preserve"> с</w:t>
      </w:r>
      <w:r w:rsidR="003D4EDB" w:rsidRPr="00A04C75">
        <w:t xml:space="preserve"> </w:t>
      </w:r>
      <w:r w:rsidR="00A04C75" w:rsidRPr="00A04C75">
        <w:t>использованием</w:t>
      </w:r>
      <w:r w:rsidR="003D4EDB" w:rsidRPr="00A04C75">
        <w:t xml:space="preserve"> и</w:t>
      </w:r>
      <w:r w:rsidR="003D4EDB">
        <w:t>нформационно-телекоммуникационных технологий.</w:t>
      </w:r>
    </w:p>
    <w:p w:rsidR="00B93155" w:rsidRDefault="00B93155" w:rsidP="00B93155">
      <w:pPr>
        <w:ind w:firstLine="709"/>
        <w:jc w:val="both"/>
      </w:pPr>
      <w:r>
        <w:t>Мошенничество – э</w:t>
      </w:r>
      <w:bookmarkStart w:id="0" w:name="_GoBack"/>
      <w:bookmarkEnd w:id="0"/>
      <w:r>
        <w:t>то завладение чужим имуществом путем обмана. По сути — то же воровство. Разница лишь в том, что обворовать человека удается благодаря доверчивости пострадавшего. Развитие сотовой связи, в каком-то смысле, сыграло на руку мошенникам. Данный способ хищения стал одним из самых массовых видов преступных действий. А вот расследование его осложнено тем, что преступник может действовать на расстоянии.</w:t>
      </w:r>
    </w:p>
    <w:p w:rsidR="00B93155" w:rsidRDefault="00B93155" w:rsidP="00B93155">
      <w:pPr>
        <w:ind w:firstLine="709"/>
        <w:jc w:val="both"/>
      </w:pPr>
      <w:r>
        <w:t>С каждым годом схемы, разработанные мошенниками, становятся все более изощренными. Телефонные аферисты умело используют всю доступную информацию и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и чувства в своих корыстных интересах.</w:t>
      </w:r>
    </w:p>
    <w:p w:rsidR="00B93155" w:rsidRDefault="00B93155" w:rsidP="00B93155">
      <w:pPr>
        <w:ind w:firstLine="709"/>
        <w:jc w:val="both"/>
      </w:pPr>
      <w:r>
        <w:t>Противостоять мошенникам возможно лишь повышенной бдительностью, внимательностью и здравомыслием.</w:t>
      </w:r>
    </w:p>
    <w:p w:rsidR="00B93155" w:rsidRDefault="00B93155" w:rsidP="00B93155">
      <w:pPr>
        <w:ind w:firstLine="709"/>
        <w:jc w:val="both"/>
      </w:pPr>
      <w:r>
        <w:t>Самые распространенные схемы телефонного мошенничества:</w:t>
      </w:r>
    </w:p>
    <w:p w:rsidR="00B93155" w:rsidRPr="003D4EDB" w:rsidRDefault="00B93155" w:rsidP="00B93155">
      <w:pPr>
        <w:ind w:firstLine="709"/>
        <w:jc w:val="both"/>
        <w:rPr>
          <w:b/>
        </w:rPr>
      </w:pPr>
      <w:r w:rsidRPr="003D4EDB">
        <w:rPr>
          <w:b/>
        </w:rPr>
        <w:t>Сообщение о блокировке банковской карты</w:t>
      </w:r>
    </w:p>
    <w:p w:rsidR="00B93155" w:rsidRDefault="00B93155" w:rsidP="00B93155">
      <w:pPr>
        <w:ind w:firstLine="709"/>
        <w:jc w:val="both"/>
      </w:pPr>
      <w:r>
        <w:t>Злоумышленники отправляют SMS-сообщение о блокировке карты, в котором содержится телефонный номер, перезвонив на который вы сможете с помощью «оператора банка» разблокировать свою карту. Попавшиеся на уловку люди называли данные банковских карт – номер, PIN и CVC-коды, что позволяло преступникам беспрепятственно завладеть денежными средствами.</w:t>
      </w:r>
    </w:p>
    <w:p w:rsidR="00B93155" w:rsidRPr="003D4EDB" w:rsidRDefault="00B93155" w:rsidP="00B93155">
      <w:pPr>
        <w:ind w:firstLine="709"/>
        <w:jc w:val="both"/>
        <w:rPr>
          <w:b/>
        </w:rPr>
      </w:pPr>
      <w:r w:rsidRPr="003D4EDB">
        <w:rPr>
          <w:b/>
        </w:rPr>
        <w:t>Несчастный случай с близ</w:t>
      </w:r>
      <w:r w:rsidR="003D4EDB">
        <w:rPr>
          <w:b/>
        </w:rPr>
        <w:t>кими родственниками (знакомыми)</w:t>
      </w:r>
    </w:p>
    <w:p w:rsidR="00B93155" w:rsidRDefault="00B93155" w:rsidP="00410216">
      <w:pPr>
        <w:ind w:firstLine="709"/>
        <w:jc w:val="both"/>
      </w:pPr>
      <w:r>
        <w:t>Преступник (мошенник), звоня с неизвестного номера, представляется родственником (знакомым) и взволнованным голосом сообщает, что у него произошли неприятности, к примеру, он задержан сотрудниками полиции</w:t>
      </w:r>
      <w:r w:rsidR="00410216">
        <w:t xml:space="preserve"> </w:t>
      </w:r>
      <w:r>
        <w:t xml:space="preserve">за совершение преступления (совершил ДТП с причинением тяжкого вреда здоровью или смерти человека, хранил оружие или наркотики и т.д.). После </w:t>
      </w:r>
      <w:r>
        <w:lastRenderedPageBreak/>
        <w:t>этого в разговор под видом сотрудника полиции вступает другой человек, который сообщает, что он может помочь в сложившейся ситуации за вознаграждение, при этом озвучивая конкретную сумму в рублях или иной валюте. Однако, если раньше деньги привозили непосредственно ему, то сейчас деньги необходимо привезти в определенное место или передать какому-либо человеку.</w:t>
      </w:r>
    </w:p>
    <w:p w:rsidR="00B93155" w:rsidRPr="00410216" w:rsidRDefault="00B93155" w:rsidP="00B93155">
      <w:pPr>
        <w:ind w:firstLine="709"/>
        <w:jc w:val="both"/>
        <w:rPr>
          <w:b/>
        </w:rPr>
      </w:pPr>
      <w:r w:rsidRPr="00410216">
        <w:rPr>
          <w:b/>
        </w:rPr>
        <w:t>Розыгрыш призов (это может б</w:t>
      </w:r>
      <w:r w:rsidR="00410216" w:rsidRPr="00410216">
        <w:rPr>
          <w:b/>
        </w:rPr>
        <w:t>ыть, как предмет, так и услуга)</w:t>
      </w:r>
    </w:p>
    <w:p w:rsidR="00B93155" w:rsidRDefault="00B93155" w:rsidP="00B93155">
      <w:pPr>
        <w:ind w:firstLine="709"/>
        <w:jc w:val="both"/>
      </w:pPr>
      <w:r>
        <w:t>На телефон абонента сотовой связи приходит sms-сообщение, из которого следует, что в результате проведенной лотереи (розыгрыша) он выиграл какой-либо предмет или услугу. Для уточнения всех деталей потенциальной жертве предлагается перейти по ссылке и посетить определенный сайт, где ознакомиться с условиями проведения розыгрыша, либо позвонить по одному из указанных телефонных номеров. Во время разговора по телефону мошенники сообщают о том, что для получения приза, необходимо выполнить ряд действий (в том числе уплата госпошлины, оформление необходимых документов, оплата за комиссию перевода). Затем счастливому обладателю «главного приза» необходимо перечислить на соответствующий счет указанную ими сумму, а затем набрать определенную комбинацию цифр и (или) символов, для проверки поступления денег на счет и получения «кода регистрации». Как только жертва завершает указанные манипуляции, счет обнуляется, а мошенники исчезают в неизвестном направлении.</w:t>
      </w:r>
    </w:p>
    <w:p w:rsidR="00B93155" w:rsidRDefault="00B93155" w:rsidP="00B93155">
      <w:pPr>
        <w:ind w:firstLine="709"/>
        <w:jc w:val="both"/>
      </w:pPr>
      <w:r>
        <w:t>Если вы узнали о проведении лотереи только тогда, когда «выиграли», при этом Вы не заполняли никаких заявок на участие или каким-либо другим способом не подтверждали свое участие в розыгрыше, то, вероятнее всего, Вас пытаются обмануть. Будьте осторожны!</w:t>
      </w:r>
    </w:p>
    <w:p w:rsidR="00B93155" w:rsidRPr="00410216" w:rsidRDefault="00B93155" w:rsidP="00B93155">
      <w:pPr>
        <w:ind w:firstLine="709"/>
        <w:jc w:val="both"/>
        <w:rPr>
          <w:b/>
        </w:rPr>
      </w:pPr>
      <w:r w:rsidRPr="00410216">
        <w:rPr>
          <w:b/>
        </w:rPr>
        <w:t>Продажа и покупка вещей в сети «Интернет»</w:t>
      </w:r>
    </w:p>
    <w:p w:rsidR="00B93155" w:rsidRDefault="00B93155" w:rsidP="00B93155">
      <w:pPr>
        <w:ind w:firstLine="709"/>
        <w:jc w:val="both"/>
      </w:pPr>
      <w:r>
        <w:t>Активно развиваются сервисы по перепродаже вещей в сети «Интернет» («Авито», «Юла» и другие), воспользоваться которыми может каждый. По указанным в объявлениям номерам звонят не только потенциальные покупатели, но и мошенники. Под предлогом покупки они просят назвать номер банковской карты; через некоторое время сообщают, что по каким-то причинам не могут произвести оплату, поскольку для этого требуется трехзначный код с обратной стороны карты (CVC-код). После этого вы рискуете обнаружить, что не только не смогли заработать на продаже ненужной вам вещи, но и потеряли свои деньги, став жертвой мошенников.</w:t>
      </w:r>
    </w:p>
    <w:p w:rsidR="00B93155" w:rsidRPr="00410216" w:rsidRDefault="00B93155" w:rsidP="00B93155">
      <w:pPr>
        <w:ind w:firstLine="709"/>
        <w:jc w:val="both"/>
        <w:rPr>
          <w:b/>
        </w:rPr>
      </w:pPr>
      <w:r w:rsidRPr="00410216">
        <w:rPr>
          <w:b/>
        </w:rPr>
        <w:t>Сообщение о списании средств с банковской карты</w:t>
      </w:r>
    </w:p>
    <w:p w:rsidR="00B93155" w:rsidRDefault="00B93155" w:rsidP="00B93155">
      <w:pPr>
        <w:ind w:firstLine="709"/>
        <w:jc w:val="both"/>
      </w:pPr>
      <w:r>
        <w:t>Преступники отправляют сообщения с текстом, идентичным банковскому уведомлению о списании средств за совершенную покупку. Ниже указывается номер, по которому можно получить подробную информацию.</w:t>
      </w:r>
    </w:p>
    <w:p w:rsidR="00B93155" w:rsidRDefault="00B93155" w:rsidP="00B93155">
      <w:pPr>
        <w:ind w:firstLine="709"/>
        <w:jc w:val="both"/>
      </w:pPr>
      <w:r>
        <w:t>Получив такое сообщение, недоумевающие люди сразу звонили по данному номеру, а потом обнаруживали, что с телефона списаны все деньги.</w:t>
      </w:r>
    </w:p>
    <w:p w:rsidR="00B93155" w:rsidRPr="00410216" w:rsidRDefault="00B93155" w:rsidP="00B93155">
      <w:pPr>
        <w:ind w:firstLine="709"/>
        <w:jc w:val="both"/>
        <w:rPr>
          <w:b/>
        </w:rPr>
      </w:pPr>
      <w:r w:rsidRPr="00410216">
        <w:rPr>
          <w:b/>
        </w:rPr>
        <w:t>Звонок из службы безопасности банка</w:t>
      </w:r>
    </w:p>
    <w:p w:rsidR="00B93155" w:rsidRDefault="00B93155" w:rsidP="00B93155">
      <w:pPr>
        <w:ind w:firstLine="709"/>
        <w:jc w:val="both"/>
      </w:pPr>
      <w:r>
        <w:lastRenderedPageBreak/>
        <w:t>Мошенники, представляясь представителями службы безопасности банка, сообщают о подозрительной активности по карте или её блокировке. Чтобы снять все ограничения, необходимо пройти процедуру идентификации, назвав ФИО, номер карты и пароль.</w:t>
      </w:r>
    </w:p>
    <w:p w:rsidR="00B93155" w:rsidRPr="00410216" w:rsidRDefault="00410216" w:rsidP="00410216">
      <w:pPr>
        <w:tabs>
          <w:tab w:val="left" w:pos="2925"/>
        </w:tabs>
        <w:ind w:firstLine="709"/>
        <w:jc w:val="both"/>
        <w:rPr>
          <w:b/>
        </w:rPr>
      </w:pPr>
      <w:r w:rsidRPr="00410216">
        <w:rPr>
          <w:b/>
        </w:rPr>
        <w:t>SMS-просьба</w:t>
      </w:r>
    </w:p>
    <w:p w:rsidR="00B93155" w:rsidRDefault="00B93155" w:rsidP="00410216">
      <w:pPr>
        <w:ind w:firstLine="709"/>
        <w:jc w:val="both"/>
      </w:pPr>
      <w:r>
        <w:t>Абонент получает на мобильный телефон сообщение от «знакомого» или «родственника» (с неизвестного номера телефона): «У меня проблемы, позвони по такому-то номеру, если номер не доступен, положи на него определенную сумму денег и перезвони». Человек пополн</w:t>
      </w:r>
      <w:r w:rsidR="00410216">
        <w:t xml:space="preserve">яет счёт </w:t>
      </w:r>
      <w:r>
        <w:t>и перезванивает, телефон по-прежнему не доступен, а деньги вернуть уже невозможно.</w:t>
      </w:r>
    </w:p>
    <w:p w:rsidR="00B93155" w:rsidRPr="00410216" w:rsidRDefault="00410216" w:rsidP="00B93155">
      <w:pPr>
        <w:ind w:firstLine="709"/>
        <w:jc w:val="both"/>
        <w:rPr>
          <w:b/>
        </w:rPr>
      </w:pPr>
      <w:r w:rsidRPr="00410216">
        <w:rPr>
          <w:b/>
        </w:rPr>
        <w:t>Платный код</w:t>
      </w:r>
    </w:p>
    <w:p w:rsidR="00B93155" w:rsidRDefault="00B93155" w:rsidP="00B93155">
      <w:pPr>
        <w:ind w:firstLine="709"/>
        <w:jc w:val="both"/>
      </w:pPr>
      <w: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B93155" w:rsidRPr="00410216" w:rsidRDefault="00410216" w:rsidP="00B93155">
      <w:pPr>
        <w:ind w:firstLine="709"/>
        <w:jc w:val="both"/>
        <w:rPr>
          <w:b/>
        </w:rPr>
      </w:pPr>
      <w:r w:rsidRPr="00410216">
        <w:rPr>
          <w:b/>
        </w:rPr>
        <w:t>Штрафные санкции оператора</w:t>
      </w:r>
    </w:p>
    <w:p w:rsidR="00B93155" w:rsidRDefault="00B93155" w:rsidP="00B93155">
      <w:pPr>
        <w:ind w:firstLine="709"/>
        <w:jc w:val="both"/>
      </w:pPr>
      <w:r>
        <w:t>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экспресс-оплаты и сообщив их коды.</w:t>
      </w:r>
    </w:p>
    <w:p w:rsidR="00B93155" w:rsidRPr="00410216" w:rsidRDefault="00410216" w:rsidP="00B93155">
      <w:pPr>
        <w:ind w:firstLine="709"/>
        <w:jc w:val="both"/>
        <w:rPr>
          <w:b/>
        </w:rPr>
      </w:pPr>
      <w:r w:rsidRPr="00410216">
        <w:rPr>
          <w:b/>
        </w:rPr>
        <w:t>Ошибочный перевод средств</w:t>
      </w:r>
    </w:p>
    <w:p w:rsidR="00B93155" w:rsidRDefault="00B93155" w:rsidP="00B93155">
      <w:pPr>
        <w:ind w:firstLine="709"/>
        <w:jc w:val="both"/>
      </w:pPr>
      <w:r>
        <w:t>Абоненту поступает SMS-сообщение о зачислении средств на его счет, переведенных с помощью услуги «Мобильный перевод». После чего поступает звонок и мужчина (или женщина) сообщает, что ошибочно перевел деньги на его счет, при этом просит вернуть их обратно при помощи использования той же услуги «Мобильный перевод». В действительности же деньги на счет телефона не поступали, а обманутый гражданин переводит свои «реальные» денежные средства на соответствующий номер телефона. Если позвонить по указанному номеру, в большинстве случаев, он будет вне зоны доступа.</w:t>
      </w:r>
    </w:p>
    <w:p w:rsidR="00B93155" w:rsidRPr="00410216" w:rsidRDefault="00B93155" w:rsidP="00B93155">
      <w:pPr>
        <w:ind w:firstLine="709"/>
        <w:jc w:val="both"/>
        <w:rPr>
          <w:b/>
        </w:rPr>
      </w:pPr>
      <w:r w:rsidRPr="00410216">
        <w:rPr>
          <w:b/>
        </w:rPr>
        <w:t>Как уберечься от телефонных мошенничеств?</w:t>
      </w:r>
    </w:p>
    <w:p w:rsidR="00B93155" w:rsidRDefault="00B93155" w:rsidP="00B93155">
      <w:pPr>
        <w:ind w:firstLine="709"/>
        <w:jc w:val="both"/>
      </w:pPr>
      <w: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 особенно пожилых:</w:t>
      </w:r>
    </w:p>
    <w:p w:rsidR="00B93155" w:rsidRDefault="00410216" w:rsidP="00B93155">
      <w:pPr>
        <w:ind w:firstLine="709"/>
        <w:jc w:val="both"/>
      </w:pPr>
      <w:r>
        <w:t xml:space="preserve">- </w:t>
      </w:r>
      <w:r w:rsidR="00B93155">
        <w:t xml:space="preserve">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w:t>
      </w:r>
      <w:r w:rsidR="00B93155">
        <w:lastRenderedPageBreak/>
        <w:t>близкому человеку позволяет развеять сомнения и понять, что это мошенники пытаются завладеть Вашими средствами или имуществом;</w:t>
      </w:r>
    </w:p>
    <w:p w:rsidR="00B93155" w:rsidRDefault="00410216" w:rsidP="00B93155">
      <w:pPr>
        <w:ind w:firstLine="709"/>
        <w:jc w:val="both"/>
      </w:pPr>
      <w:r>
        <w:t xml:space="preserve">- </w:t>
      </w:r>
      <w:r w:rsidR="00B93155">
        <w:t>не следует отвечать на звонки или SMS-сообщения с неизвестных номеров с просьбой положить на счет денежные средства;</w:t>
      </w:r>
    </w:p>
    <w:p w:rsidR="00B93155" w:rsidRDefault="00410216" w:rsidP="00B93155">
      <w:pPr>
        <w:ind w:firstLine="709"/>
        <w:jc w:val="both"/>
      </w:pPr>
      <w:r>
        <w:t xml:space="preserve">- </w:t>
      </w:r>
      <w:r w:rsidR="00B93155">
        <w:t>не следует сообщать по телефону кому бы то ни было сведения личного характера;</w:t>
      </w:r>
    </w:p>
    <w:p w:rsidR="00B93155" w:rsidRDefault="00410216" w:rsidP="00B93155">
      <w:pPr>
        <w:ind w:firstLine="709"/>
        <w:jc w:val="both"/>
      </w:pPr>
      <w:r>
        <w:t xml:space="preserve">- </w:t>
      </w:r>
      <w:r w:rsidR="00B93155">
        <w:t>использовать антивирусное программное обеспечение, осмотрительно пользоваться Интернетом и не посещать подозрительные сайты, скачивать приложения только из проверенных источников.</w:t>
      </w:r>
    </w:p>
    <w:p w:rsidR="00B93155" w:rsidRDefault="00B93155" w:rsidP="00B93155">
      <w:pPr>
        <w:ind w:firstLine="709"/>
        <w:jc w:val="both"/>
      </w:pPr>
      <w:r>
        <w:t>Если телефонные мошенники все же сумели завладеть Вашими денежными средствами, то вопрос о привлечении их к уголовной ответственности в зависимости от способа совершения будет решаться по нормам статьи 159 или 159.3 Уголовного кодекса РФ.</w:t>
      </w:r>
    </w:p>
    <w:p w:rsidR="00B93155" w:rsidRDefault="00B93155" w:rsidP="00B93155">
      <w:pPr>
        <w:ind w:firstLine="709"/>
        <w:jc w:val="both"/>
      </w:pPr>
      <w:r>
        <w:t>За совершение указанных преступлений законом предусмотрено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A7CC3" w:rsidRDefault="00B93155" w:rsidP="00B93155">
      <w:pPr>
        <w:ind w:firstLine="709"/>
        <w:jc w:val="both"/>
      </w:pPr>
      <w:r>
        <w:t>Будьте бдительны! При любых сомнениях, подозрениях, беспокойстве, попытке собеседника узнать личную информацию (в том числе сведения о банковском счете или карте) немедленно завершайте разговор. После этого перезвоните по контактному номеру банка, указанному на обороте карты.</w:t>
      </w:r>
    </w:p>
    <w:p w:rsidR="00B93155" w:rsidRDefault="00B93155" w:rsidP="00B93155">
      <w:pPr>
        <w:ind w:firstLine="708"/>
      </w:pPr>
    </w:p>
    <w:p w:rsidR="00B93155" w:rsidRDefault="00B93155" w:rsidP="00B93155">
      <w:pPr>
        <w:ind w:firstLine="708"/>
      </w:pPr>
    </w:p>
    <w:p w:rsidR="000F22E8" w:rsidRDefault="000F22E8" w:rsidP="000F22E8">
      <w:pPr>
        <w:spacing w:line="240" w:lineRule="exact"/>
        <w:contextualSpacing/>
        <w:jc w:val="both"/>
      </w:pPr>
      <w:r>
        <w:t>Прокуратура</w:t>
      </w:r>
    </w:p>
    <w:p w:rsidR="000F22E8" w:rsidRPr="00E26A1D" w:rsidRDefault="000F22E8" w:rsidP="000F22E8">
      <w:pPr>
        <w:spacing w:line="240" w:lineRule="exact"/>
        <w:contextualSpacing/>
        <w:jc w:val="both"/>
      </w:pPr>
      <w:r>
        <w:t>Октябрьского района</w:t>
      </w:r>
    </w:p>
    <w:p w:rsidR="00BF3A90" w:rsidRDefault="006204BB"/>
    <w:sectPr w:rsidR="00BF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AE"/>
    <w:rsid w:val="0007412B"/>
    <w:rsid w:val="00091DF7"/>
    <w:rsid w:val="000F22E8"/>
    <w:rsid w:val="00363CBC"/>
    <w:rsid w:val="003D4EDB"/>
    <w:rsid w:val="00410216"/>
    <w:rsid w:val="00540C3B"/>
    <w:rsid w:val="005A49EB"/>
    <w:rsid w:val="00604F72"/>
    <w:rsid w:val="006204BB"/>
    <w:rsid w:val="00631BD2"/>
    <w:rsid w:val="00677F37"/>
    <w:rsid w:val="006D04AE"/>
    <w:rsid w:val="007A0555"/>
    <w:rsid w:val="007D7D03"/>
    <w:rsid w:val="007F4F31"/>
    <w:rsid w:val="008A103A"/>
    <w:rsid w:val="008A7CC3"/>
    <w:rsid w:val="00A04C75"/>
    <w:rsid w:val="00AB37D7"/>
    <w:rsid w:val="00B40EA7"/>
    <w:rsid w:val="00B421DD"/>
    <w:rsid w:val="00B93155"/>
    <w:rsid w:val="00C32BCE"/>
    <w:rsid w:val="00CB6A29"/>
    <w:rsid w:val="00E52878"/>
    <w:rsid w:val="00E76AB5"/>
    <w:rsid w:val="00E92BC8"/>
    <w:rsid w:val="00F9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E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2E8"/>
    <w:pPr>
      <w:spacing w:after="0" w:line="240" w:lineRule="auto"/>
    </w:pPr>
    <w:rPr>
      <w:rFonts w:ascii="Calibri" w:eastAsia="Times New Roman" w:hAnsi="Calibri" w:cs="Times New Roman"/>
      <w:lang w:eastAsia="ru-RU"/>
    </w:rPr>
  </w:style>
  <w:style w:type="character" w:styleId="a4">
    <w:name w:val="Strong"/>
    <w:uiPriority w:val="22"/>
    <w:qFormat/>
    <w:rsid w:val="000F22E8"/>
    <w:rPr>
      <w:b/>
      <w:bCs/>
    </w:rPr>
  </w:style>
  <w:style w:type="character" w:styleId="a5">
    <w:name w:val="annotation reference"/>
    <w:basedOn w:val="a0"/>
    <w:uiPriority w:val="99"/>
    <w:semiHidden/>
    <w:unhideWhenUsed/>
    <w:rsid w:val="00091DF7"/>
    <w:rPr>
      <w:sz w:val="16"/>
      <w:szCs w:val="16"/>
    </w:rPr>
  </w:style>
  <w:style w:type="paragraph" w:styleId="a6">
    <w:name w:val="annotation text"/>
    <w:basedOn w:val="a"/>
    <w:link w:val="a7"/>
    <w:uiPriority w:val="99"/>
    <w:semiHidden/>
    <w:unhideWhenUsed/>
    <w:rsid w:val="00091DF7"/>
    <w:rPr>
      <w:sz w:val="20"/>
      <w:szCs w:val="20"/>
    </w:rPr>
  </w:style>
  <w:style w:type="character" w:customStyle="1" w:styleId="a7">
    <w:name w:val="Текст примечания Знак"/>
    <w:basedOn w:val="a0"/>
    <w:link w:val="a6"/>
    <w:uiPriority w:val="99"/>
    <w:semiHidden/>
    <w:rsid w:val="00091DF7"/>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91DF7"/>
    <w:rPr>
      <w:b/>
      <w:bCs/>
    </w:rPr>
  </w:style>
  <w:style w:type="character" w:customStyle="1" w:styleId="a9">
    <w:name w:val="Тема примечания Знак"/>
    <w:basedOn w:val="a7"/>
    <w:link w:val="a8"/>
    <w:uiPriority w:val="99"/>
    <w:semiHidden/>
    <w:rsid w:val="00091DF7"/>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91DF7"/>
    <w:rPr>
      <w:rFonts w:ascii="Tahoma" w:hAnsi="Tahoma" w:cs="Tahoma"/>
      <w:sz w:val="16"/>
      <w:szCs w:val="16"/>
    </w:rPr>
  </w:style>
  <w:style w:type="character" w:customStyle="1" w:styleId="ab">
    <w:name w:val="Текст выноски Знак"/>
    <w:basedOn w:val="a0"/>
    <w:link w:val="aa"/>
    <w:uiPriority w:val="99"/>
    <w:semiHidden/>
    <w:rsid w:val="00091D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E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2E8"/>
    <w:pPr>
      <w:spacing w:after="0" w:line="240" w:lineRule="auto"/>
    </w:pPr>
    <w:rPr>
      <w:rFonts w:ascii="Calibri" w:eastAsia="Times New Roman" w:hAnsi="Calibri" w:cs="Times New Roman"/>
      <w:lang w:eastAsia="ru-RU"/>
    </w:rPr>
  </w:style>
  <w:style w:type="character" w:styleId="a4">
    <w:name w:val="Strong"/>
    <w:uiPriority w:val="22"/>
    <w:qFormat/>
    <w:rsid w:val="000F22E8"/>
    <w:rPr>
      <w:b/>
      <w:bCs/>
    </w:rPr>
  </w:style>
  <w:style w:type="character" w:styleId="a5">
    <w:name w:val="annotation reference"/>
    <w:basedOn w:val="a0"/>
    <w:uiPriority w:val="99"/>
    <w:semiHidden/>
    <w:unhideWhenUsed/>
    <w:rsid w:val="00091DF7"/>
    <w:rPr>
      <w:sz w:val="16"/>
      <w:szCs w:val="16"/>
    </w:rPr>
  </w:style>
  <w:style w:type="paragraph" w:styleId="a6">
    <w:name w:val="annotation text"/>
    <w:basedOn w:val="a"/>
    <w:link w:val="a7"/>
    <w:uiPriority w:val="99"/>
    <w:semiHidden/>
    <w:unhideWhenUsed/>
    <w:rsid w:val="00091DF7"/>
    <w:rPr>
      <w:sz w:val="20"/>
      <w:szCs w:val="20"/>
    </w:rPr>
  </w:style>
  <w:style w:type="character" w:customStyle="1" w:styleId="a7">
    <w:name w:val="Текст примечания Знак"/>
    <w:basedOn w:val="a0"/>
    <w:link w:val="a6"/>
    <w:uiPriority w:val="99"/>
    <w:semiHidden/>
    <w:rsid w:val="00091DF7"/>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91DF7"/>
    <w:rPr>
      <w:b/>
      <w:bCs/>
    </w:rPr>
  </w:style>
  <w:style w:type="character" w:customStyle="1" w:styleId="a9">
    <w:name w:val="Тема примечания Знак"/>
    <w:basedOn w:val="a7"/>
    <w:link w:val="a8"/>
    <w:uiPriority w:val="99"/>
    <w:semiHidden/>
    <w:rsid w:val="00091DF7"/>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91DF7"/>
    <w:rPr>
      <w:rFonts w:ascii="Tahoma" w:hAnsi="Tahoma" w:cs="Tahoma"/>
      <w:sz w:val="16"/>
      <w:szCs w:val="16"/>
    </w:rPr>
  </w:style>
  <w:style w:type="character" w:customStyle="1" w:styleId="ab">
    <w:name w:val="Текст выноски Знак"/>
    <w:basedOn w:val="a0"/>
    <w:link w:val="aa"/>
    <w:uiPriority w:val="99"/>
    <w:semiHidden/>
    <w:rsid w:val="00091D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4392">
      <w:bodyDiv w:val="1"/>
      <w:marLeft w:val="0"/>
      <w:marRight w:val="0"/>
      <w:marTop w:val="0"/>
      <w:marBottom w:val="0"/>
      <w:divBdr>
        <w:top w:val="none" w:sz="0" w:space="0" w:color="auto"/>
        <w:left w:val="none" w:sz="0" w:space="0" w:color="auto"/>
        <w:bottom w:val="none" w:sz="0" w:space="0" w:color="auto"/>
        <w:right w:val="none" w:sz="0" w:space="0" w:color="auto"/>
      </w:divBdr>
    </w:div>
    <w:div w:id="1165589846">
      <w:bodyDiv w:val="1"/>
      <w:marLeft w:val="0"/>
      <w:marRight w:val="0"/>
      <w:marTop w:val="0"/>
      <w:marBottom w:val="0"/>
      <w:divBdr>
        <w:top w:val="none" w:sz="0" w:space="0" w:color="auto"/>
        <w:left w:val="none" w:sz="0" w:space="0" w:color="auto"/>
        <w:bottom w:val="none" w:sz="0" w:space="0" w:color="auto"/>
        <w:right w:val="none" w:sz="0" w:space="0" w:color="auto"/>
      </w:divBdr>
    </w:div>
    <w:div w:id="1805460273">
      <w:bodyDiv w:val="1"/>
      <w:marLeft w:val="0"/>
      <w:marRight w:val="0"/>
      <w:marTop w:val="0"/>
      <w:marBottom w:val="0"/>
      <w:divBdr>
        <w:top w:val="none" w:sz="0" w:space="0" w:color="auto"/>
        <w:left w:val="none" w:sz="0" w:space="0" w:color="auto"/>
        <w:bottom w:val="none" w:sz="0" w:space="0" w:color="auto"/>
        <w:right w:val="none" w:sz="0" w:space="0" w:color="auto"/>
      </w:divBdr>
    </w:div>
    <w:div w:id="18944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 Римиханов</dc:creator>
  <cp:lastModifiedBy>Виктория</cp:lastModifiedBy>
  <cp:revision>2</cp:revision>
  <dcterms:created xsi:type="dcterms:W3CDTF">2020-09-11T12:26:00Z</dcterms:created>
  <dcterms:modified xsi:type="dcterms:W3CDTF">2020-09-11T12:26:00Z</dcterms:modified>
</cp:coreProperties>
</file>