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43426F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43426F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Почему в 2021 году изменились налоги на имущество</w:t>
      </w:r>
    </w:p>
    <w:bookmarkEnd w:id="0"/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 Существуют и общие основания для изменения налоговой нагрузки.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Транспортный налог. Рост налога может обуславливаться следующими причинами: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1) изменение налоговых ставок и (или) отмена льгот, </w:t>
      </w:r>
      <w:proofErr w:type="gramStart"/>
      <w:r w:rsidRPr="0043426F">
        <w:rPr>
          <w:rFonts w:ascii="Trebuchet MS" w:hAnsi="Trebuchet MS"/>
          <w:bCs/>
          <w:color w:val="000000"/>
          <w:sz w:val="30"/>
          <w:szCs w:val="30"/>
        </w:rPr>
        <w:t>полномочия</w:t>
      </w:r>
      <w:proofErr w:type="gramEnd"/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на сайте </w:t>
      </w:r>
      <w:proofErr w:type="spellStart"/>
      <w:r w:rsidRPr="0043426F">
        <w:rPr>
          <w:rFonts w:ascii="Trebuchet MS" w:hAnsi="Trebuchet MS"/>
          <w:bCs/>
          <w:color w:val="000000"/>
          <w:sz w:val="30"/>
          <w:szCs w:val="30"/>
        </w:rPr>
        <w:t>Минпромторга</w:t>
      </w:r>
      <w:proofErr w:type="spellEnd"/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 России Перечню легковых автомобилей средней стоимостью от 3 миллионов рублей для налогового периода 2020 года;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Земельный налог. Рост налога может обуславливаться следующими причинами: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1) изменение налоговых ставок и (или) отмена льгот, </w:t>
      </w:r>
      <w:proofErr w:type="gramStart"/>
      <w:r w:rsidRPr="0043426F">
        <w:rPr>
          <w:rFonts w:ascii="Trebuchet MS" w:hAnsi="Trebuchet MS"/>
          <w:bCs/>
          <w:color w:val="000000"/>
          <w:sz w:val="30"/>
          <w:szCs w:val="30"/>
        </w:rPr>
        <w:t>полномочия</w:t>
      </w:r>
      <w:proofErr w:type="gramEnd"/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</w:t>
      </w:r>
      <w:r w:rsidRPr="0043426F">
        <w:rPr>
          <w:rFonts w:ascii="Trebuchet MS" w:hAnsi="Trebuchet MS"/>
          <w:bCs/>
          <w:color w:val="000000"/>
          <w:sz w:val="30"/>
          <w:szCs w:val="30"/>
        </w:rPr>
        <w:lastRenderedPageBreak/>
        <w:t xml:space="preserve">использования, уточнения площади. Информацию о кадастровой стоимости можно получить на сайте </w:t>
      </w:r>
      <w:proofErr w:type="spellStart"/>
      <w:r w:rsidRPr="0043426F">
        <w:rPr>
          <w:rFonts w:ascii="Trebuchet MS" w:hAnsi="Trebuchet MS"/>
          <w:bCs/>
          <w:color w:val="000000"/>
          <w:sz w:val="30"/>
          <w:szCs w:val="30"/>
        </w:rPr>
        <w:t>Росреестра</w:t>
      </w:r>
      <w:proofErr w:type="spellEnd"/>
      <w:r w:rsidRPr="0043426F">
        <w:rPr>
          <w:rFonts w:ascii="Trebuchet MS" w:hAnsi="Trebuchet MS"/>
          <w:bCs/>
          <w:color w:val="000000"/>
          <w:sz w:val="30"/>
          <w:szCs w:val="30"/>
        </w:rPr>
        <w:t>;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77652F">
        <w:rPr>
          <w:noProof/>
        </w:rPr>
        <w:drawing>
          <wp:anchor distT="0" distB="0" distL="114300" distR="114300" simplePos="0" relativeHeight="251661312" behindDoc="1" locked="0" layoutInCell="1" allowOverlap="1" wp14:anchorId="28BEEFCA" wp14:editId="4001DD78">
            <wp:simplePos x="0" y="0"/>
            <wp:positionH relativeFrom="column">
              <wp:posOffset>-57150</wp:posOffset>
            </wp:positionH>
            <wp:positionV relativeFrom="paragraph">
              <wp:posOffset>-709930</wp:posOffset>
            </wp:positionV>
            <wp:extent cx="7028626" cy="875347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32664" cy="875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Налог на имущество физлиц. Рост налога может обуславливаться следующими причинами: 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>1) рост коэффициента к налоговому периоду. В частности, в качестве налоговой базы впервые будет применена кадастровая стоимость на территории 9 регионов (Республики Алтай, Крым, Алтайский край, Приморский край, Волгоградская, Иркутская, Курганская, Свердловская, Томская области). В 4 регионах (Республики Дагестан и Северная Осетия - Алания, Красноярский край, Смоленская область), где кадастровая стоимость используется второй год, при расчете налога будет применен коэффициент 0,4 (был в 2020 г. – 0,2). В 7 регионах третьего года применения кадастровой стоимости (Калужская, Липецкая, Ростовская, Саратовская, Тюменская, Ульяновская области, Пермский край) коэффициент достигнет значения 0,6 (был в 2020 г. – 0,4);</w:t>
      </w:r>
    </w:p>
    <w:p w:rsidR="0043426F" w:rsidRPr="0043426F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0"/>
          <w:szCs w:val="30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 w:rsidRPr="0043426F">
        <w:rPr>
          <w:rFonts w:ascii="Trebuchet MS" w:hAnsi="Trebuchet MS"/>
          <w:bCs/>
          <w:color w:val="000000"/>
          <w:sz w:val="30"/>
          <w:szCs w:val="30"/>
        </w:rPr>
        <w:t>Росреестра</w:t>
      </w:r>
      <w:proofErr w:type="spellEnd"/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; </w:t>
      </w:r>
    </w:p>
    <w:p w:rsidR="007C6E76" w:rsidRPr="007C6E76" w:rsidRDefault="0043426F" w:rsidP="0043426F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3) изменение налоговых ставок или отмена льгот, </w:t>
      </w:r>
      <w:proofErr w:type="gramStart"/>
      <w:r w:rsidRPr="0043426F">
        <w:rPr>
          <w:rFonts w:ascii="Trebuchet MS" w:hAnsi="Trebuchet MS"/>
          <w:bCs/>
          <w:color w:val="000000"/>
          <w:sz w:val="30"/>
          <w:szCs w:val="30"/>
        </w:rPr>
        <w:t>полномочия</w:t>
      </w:r>
      <w:proofErr w:type="gramEnd"/>
      <w:r w:rsidRPr="0043426F">
        <w:rPr>
          <w:rFonts w:ascii="Trebuchet MS" w:hAnsi="Trebuchet MS"/>
          <w:bCs/>
          <w:color w:val="000000"/>
          <w:sz w:val="30"/>
          <w:szCs w:val="30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(https://www.nalog.ru/rn77/service/tax/).</w:t>
      </w:r>
    </w:p>
    <w:sectPr w:rsidR="007C6E76" w:rsidRPr="007C6E7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FA" w:rsidRDefault="002216FA" w:rsidP="00C67182">
      <w:r>
        <w:separator/>
      </w:r>
    </w:p>
  </w:endnote>
  <w:endnote w:type="continuationSeparator" w:id="0">
    <w:p w:rsidR="002216FA" w:rsidRDefault="002216FA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FA" w:rsidRDefault="002216FA" w:rsidP="00C67182">
      <w:r>
        <w:separator/>
      </w:r>
    </w:p>
  </w:footnote>
  <w:footnote w:type="continuationSeparator" w:id="0">
    <w:p w:rsidR="002216FA" w:rsidRDefault="002216FA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16FA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3426F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2021-04-21T09:34:00Z</cp:lastPrinted>
  <dcterms:created xsi:type="dcterms:W3CDTF">2021-10-13T07:45:00Z</dcterms:created>
  <dcterms:modified xsi:type="dcterms:W3CDTF">2021-10-13T07:45:00Z</dcterms:modified>
</cp:coreProperties>
</file>