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B767AF">
        <w:rPr>
          <w:b/>
        </w:rPr>
        <w:t>10.03.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F1128A" w:rsidRDefault="00F1128A" w:rsidP="00F1128A">
      <w:pPr>
        <w:pStyle w:val="1"/>
      </w:pPr>
      <w:bookmarkStart w:id="0" w:name="_GoBack"/>
      <w:bookmarkEnd w:id="0"/>
      <w:r>
        <w:t xml:space="preserve">Пользователей портала </w:t>
      </w:r>
      <w:proofErr w:type="spellStart"/>
      <w:r>
        <w:t>Госуслуги</w:t>
      </w:r>
      <w:proofErr w:type="spellEnd"/>
      <w:r>
        <w:t xml:space="preserve"> начнёт консультировать голосовой помощник</w:t>
      </w:r>
    </w:p>
    <w:p w:rsidR="00F1128A" w:rsidRDefault="00F1128A" w:rsidP="00F1128A">
      <w:r>
        <w:pict>
          <v:rect id="_x0000_i1025" style="width:0;height:1.5pt" o:hralign="center" o:hrstd="t" o:hr="t" fillcolor="#a0a0a0" stroked="f"/>
        </w:pict>
      </w:r>
    </w:p>
    <w:p w:rsidR="00F1128A" w:rsidRDefault="00F1128A" w:rsidP="00F1128A">
      <w:pPr>
        <w:pStyle w:val="a4"/>
        <w:jc w:val="both"/>
      </w:pPr>
      <w:r>
        <w:rPr>
          <w:b/>
          <w:bCs/>
          <w:noProof/>
        </w:rPr>
        <w:drawing>
          <wp:inline distT="0" distB="0" distL="0" distR="0">
            <wp:extent cx="3329940" cy="1874520"/>
            <wp:effectExtent l="0" t="0" r="3810" b="0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В конце марта этого года запустится обновлённая версия портала </w:t>
      </w:r>
      <w:proofErr w:type="spellStart"/>
      <w:r>
        <w:rPr>
          <w:rStyle w:val="a7"/>
        </w:rPr>
        <w:t>Госуслуги</w:t>
      </w:r>
      <w:proofErr w:type="spellEnd"/>
      <w:r>
        <w:rPr>
          <w:rStyle w:val="a7"/>
        </w:rPr>
        <w:t>. На новую версию переведут сначала 20 услуг, а до конца года - более 100.</w:t>
      </w:r>
    </w:p>
    <w:p w:rsidR="00F1128A" w:rsidRDefault="00F1128A" w:rsidP="00F1128A">
      <w:pPr>
        <w:pStyle w:val="a4"/>
        <w:jc w:val="both"/>
      </w:pPr>
      <w:r>
        <w:t>Переход окажется незаметным для пользователей, а услуги будут доступны с помощью уже имеющейся учётной записи - обещают организаторы.</w:t>
      </w:r>
    </w:p>
    <w:p w:rsidR="00F1128A" w:rsidRDefault="00F1128A" w:rsidP="00F1128A">
      <w:pPr>
        <w:pStyle w:val="a4"/>
        <w:jc w:val="both"/>
      </w:pPr>
      <w:r>
        <w:t xml:space="preserve">Известно, что на модернизированном портале </w:t>
      </w:r>
      <w:proofErr w:type="spellStart"/>
      <w:r>
        <w:t>Госуслуги</w:t>
      </w:r>
      <w:proofErr w:type="spellEnd"/>
      <w:r>
        <w:t xml:space="preserve"> пользователям будут предложены новые сервисы. Так в апреле этого года появится голосовой помощник, который будет работать с использованием технологий искусственного интеллекта. Граждане смогут заполнять формы, отвечая на вопросы робота.</w:t>
      </w:r>
    </w:p>
    <w:p w:rsidR="00F1128A" w:rsidRDefault="00F1128A" w:rsidP="00F1128A">
      <w:pPr>
        <w:pStyle w:val="a4"/>
        <w:jc w:val="both"/>
      </w:pPr>
      <w:r>
        <w:t>К лету изменятся личный кабинет пользователя и основная страница сайта, расширится и объем запросов для обработки.</w:t>
      </w:r>
      <w:r>
        <w:rPr>
          <w:rStyle w:val="a7"/>
        </w:rPr>
        <w:t> </w:t>
      </w:r>
      <w:r>
        <w:t xml:space="preserve">Новый портал будет отвечать всем современным требованиям </w:t>
      </w:r>
      <w:proofErr w:type="spellStart"/>
      <w:r>
        <w:t>кибербезопасности</w:t>
      </w:r>
      <w:proofErr w:type="spellEnd"/>
      <w:r>
        <w:t>.</w:t>
      </w:r>
    </w:p>
    <w:p w:rsidR="00F1128A" w:rsidRDefault="00F1128A" w:rsidP="00F1128A">
      <w:pPr>
        <w:pStyle w:val="a4"/>
        <w:jc w:val="both"/>
      </w:pPr>
      <w:r>
        <w:t>Отметим, что</w:t>
      </w:r>
      <w:r>
        <w:rPr>
          <w:rStyle w:val="a7"/>
        </w:rPr>
        <w:t> </w:t>
      </w:r>
      <w:r>
        <w:t xml:space="preserve">сейчас на портале более 75,5 </w:t>
      </w:r>
      <w:proofErr w:type="gramStart"/>
      <w:r>
        <w:t>млн</w:t>
      </w:r>
      <w:proofErr w:type="gramEnd"/>
      <w:r>
        <w:t xml:space="preserve"> подтвержденных учетных записей. За 2020 год через </w:t>
      </w:r>
      <w:proofErr w:type="spellStart"/>
      <w:r>
        <w:t>Госуслуги</w:t>
      </w:r>
      <w:proofErr w:type="spellEnd"/>
      <w:r>
        <w:t xml:space="preserve"> населению страны было оказано 175 </w:t>
      </w:r>
      <w:proofErr w:type="gramStart"/>
      <w:r>
        <w:t>млн</w:t>
      </w:r>
      <w:proofErr w:type="gramEnd"/>
      <w:r>
        <w:t xml:space="preserve"> услуг. Портал посещают в среднем 5 </w:t>
      </w:r>
      <w:proofErr w:type="gramStart"/>
      <w:r>
        <w:t>млн</w:t>
      </w:r>
      <w:proofErr w:type="gramEnd"/>
      <w:r>
        <w:t xml:space="preserve"> человек в день.</w:t>
      </w:r>
    </w:p>
    <w:p w:rsidR="00F1128A" w:rsidRDefault="00F1128A" w:rsidP="00F1128A">
      <w:pPr>
        <w:pStyle w:val="a4"/>
        <w:jc w:val="both"/>
      </w:pPr>
      <w:r>
        <w:t xml:space="preserve">Самой популярной услугой на портале являются выплаты на детей. В 2020 году данными услугами воспользовались почти 25 </w:t>
      </w:r>
      <w:proofErr w:type="gramStart"/>
      <w:r>
        <w:t>млн</w:t>
      </w:r>
      <w:proofErr w:type="gramEnd"/>
      <w:r>
        <w:t xml:space="preserve"> россиян.</w:t>
      </w:r>
    </w:p>
    <w:p w:rsidR="00F1128A" w:rsidRDefault="00F1128A" w:rsidP="00F1128A">
      <w:pPr>
        <w:pStyle w:val="a4"/>
        <w:jc w:val="both"/>
      </w:pPr>
      <w:r>
        <w:t xml:space="preserve">В Ханты-Мансийском округе портал посещают 1,65 </w:t>
      </w:r>
      <w:proofErr w:type="gramStart"/>
      <w:r>
        <w:t>млн</w:t>
      </w:r>
      <w:proofErr w:type="gramEnd"/>
      <w:r>
        <w:t xml:space="preserve"> жителей, что составляет 99% населения региона. Это позволяет Югре удерживать лидерство среди субъектов </w:t>
      </w:r>
      <w:proofErr w:type="spellStart"/>
      <w:r>
        <w:t>УрФО</w:t>
      </w:r>
      <w:proofErr w:type="spellEnd"/>
      <w:r>
        <w:t xml:space="preserve"> по данному показателю.</w:t>
      </w:r>
    </w:p>
    <w:p w:rsidR="00F1128A" w:rsidRDefault="00F1128A" w:rsidP="00F1128A">
      <w:pPr>
        <w:pStyle w:val="a4"/>
        <w:jc w:val="both"/>
      </w:pPr>
      <w:r>
        <w:t xml:space="preserve">И число северян, выбирающих получение государственных и муниципальных услуг в цифровом виде, с каждым днем растет. Так в 2020 году на единый портал пришло почти 280 тыс. новых пользователей региона, которыми было подано более 10 </w:t>
      </w:r>
      <w:proofErr w:type="gramStart"/>
      <w:r>
        <w:t>млн</w:t>
      </w:r>
      <w:proofErr w:type="gramEnd"/>
      <w:r>
        <w:t xml:space="preserve"> заявлений. Сейчас на портале жителям округа доступно 165 региональных и муниципальных услуг, оказываемых в электронном виде.</w:t>
      </w:r>
    </w:p>
    <w:p w:rsidR="00F1128A" w:rsidRDefault="00F1128A" w:rsidP="00F1128A">
      <w:pPr>
        <w:pStyle w:val="a4"/>
        <w:jc w:val="both"/>
      </w:pPr>
      <w:r>
        <w:lastRenderedPageBreak/>
        <w:t xml:space="preserve">Напомним, что распоряжением Правления ПФР от 12.07.2018 № 352р утвержден Перечень государственных услуг, предоставляемых Пенсионным фондом Российской Федерации. Для </w:t>
      </w:r>
      <w:proofErr w:type="spellStart"/>
      <w:r>
        <w:t>югорчан</w:t>
      </w:r>
      <w:proofErr w:type="spellEnd"/>
      <w:r>
        <w:t xml:space="preserve"> </w:t>
      </w:r>
      <w:proofErr w:type="gramStart"/>
      <w:r>
        <w:t>доступны</w:t>
      </w:r>
      <w:proofErr w:type="gramEnd"/>
      <w:r>
        <w:t xml:space="preserve"> 30 государственных услуг. Пенсионным фондом России проводится постоянная работа по переводу государственных услуг в электронный вид. Из 30 государственных услуг 24 государственные услуги реализованы в электронном виде в личном кабинете гражданина на сайте ПФР, 18 - на Едином портале государственных и муниципальных услуг.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5C0"/>
    <w:multiLevelType w:val="multilevel"/>
    <w:tmpl w:val="476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A54"/>
    <w:rsid w:val="00E42486"/>
    <w:rsid w:val="00E477A7"/>
    <w:rsid w:val="00F1128A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2021-03-10T06:30:00Z</dcterms:created>
  <dcterms:modified xsi:type="dcterms:W3CDTF">2021-03-10T06:30:00Z</dcterms:modified>
</cp:coreProperties>
</file>