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D884E61" w14:textId="5DBB35E7" w:rsidR="00BA0C0D" w:rsidRDefault="009D27AF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27AF">
        <w:rPr>
          <w:rFonts w:ascii="Times New Roman" w:hAnsi="Times New Roman" w:cs="Times New Roman"/>
          <w:b/>
          <w:bCs/>
          <w:sz w:val="28"/>
          <w:szCs w:val="28"/>
        </w:rPr>
        <w:t>Безопасные условия нахождения несовершеннолетних в общеобразовательной организации</w:t>
      </w:r>
    </w:p>
    <w:p w14:paraId="720FCE42" w14:textId="77777777" w:rsidR="009D27AF" w:rsidRDefault="009D27AF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8DAD98" w14:textId="72A67632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29.12.2012 № 273-ФЗ «Об образовании в Российской Федерации» установлены обязанности общеобразовательных организаций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общеобразовательной организации.  </w:t>
      </w:r>
    </w:p>
    <w:p w14:paraId="1E6176B9" w14:textId="77114D14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>Санитарными нормами и другими нормами законодательства определены требования к территории общеобразовательной организации, в том числе к обеспечению ее безопасности и сохранности.</w:t>
      </w:r>
    </w:p>
    <w:p w14:paraId="566454FD" w14:textId="6DC6EE46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>В общеобразовательной организации должны быть выполнены следующие требования по охране общеобразовательной организации и ее территории:</w:t>
      </w:r>
    </w:p>
    <w:p w14:paraId="621D51B6" w14:textId="77777777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 xml:space="preserve">охранная сигнализация (кнопка тревожной сигнализации, охранная сигнализация в местах хранения материальных ценностей);  </w:t>
      </w:r>
    </w:p>
    <w:p w14:paraId="19D4B139" w14:textId="77777777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 xml:space="preserve">система видеонаблюдения в здании общеобразовательной организации, обеспечивающей передачу визуальной информации о состоянии охраняемой зоны на видеомонитор, устанавливаемый на посту;  </w:t>
      </w:r>
    </w:p>
    <w:p w14:paraId="0F9FA616" w14:textId="77777777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>система контроля и управления доступом (турникет);</w:t>
      </w:r>
    </w:p>
    <w:p w14:paraId="7AB34D51" w14:textId="77777777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>посты охраны, оборудованные телефоном со списком телефонов экстренной помощи, правоохранительных органов, аварийных служб;</w:t>
      </w:r>
    </w:p>
    <w:p w14:paraId="4BAA0686" w14:textId="77777777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 xml:space="preserve">ограждение территории общеобразовательной организации по всему периметру. </w:t>
      </w:r>
    </w:p>
    <w:p w14:paraId="4382DE8A" w14:textId="03AFF6EF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 xml:space="preserve">Общеобразовательным организациям необходимо иметь ограждение высотой от 1,5 метров, иметь ограждение, оборудованное с запирающими устройствами (засов, замок) или запирающимися воротами (шлагбаумом) для въезда автотранспорта, иметь ограждение с калитками (воротами) для прохода обучающихся и посетителей, </w:t>
      </w:r>
      <w:proofErr w:type="gramStart"/>
      <w:r w:rsidRPr="009D27AF">
        <w:rPr>
          <w:rFonts w:ascii="Times New Roman" w:hAnsi="Times New Roman" w:cs="Times New Roman"/>
          <w:sz w:val="28"/>
          <w:szCs w:val="28"/>
        </w:rPr>
        <w:t>а  также</w:t>
      </w:r>
      <w:proofErr w:type="gramEnd"/>
      <w:r w:rsidRPr="009D27AF">
        <w:rPr>
          <w:rFonts w:ascii="Times New Roman" w:hAnsi="Times New Roman" w:cs="Times New Roman"/>
          <w:sz w:val="28"/>
          <w:szCs w:val="28"/>
        </w:rPr>
        <w:t xml:space="preserve"> предусмотреть использование средств связи (домофон) с постом охраны или электронные (кодовые) замки на калитках для прохода обучающихся, воротах для въезда автомашин.</w:t>
      </w:r>
    </w:p>
    <w:p w14:paraId="31024749" w14:textId="10A0D9E9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должен проводится ежедневный обход зданий, помещений и территории общеобразовательной организации с целью проверки целостности ограждения и своевременного выявления </w:t>
      </w:r>
      <w:r w:rsidRPr="009D27AF">
        <w:rPr>
          <w:rFonts w:ascii="Times New Roman" w:hAnsi="Times New Roman" w:cs="Times New Roman"/>
          <w:sz w:val="28"/>
          <w:szCs w:val="28"/>
        </w:rPr>
        <w:lastRenderedPageBreak/>
        <w:t>подозрительных предметов, которые могут представлять опасность, с фиксацией результатов обхода в специальном журнале.</w:t>
      </w:r>
    </w:p>
    <w:p w14:paraId="1D6E3668" w14:textId="05D48422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 xml:space="preserve">Территория учреждения должна иметь наружное искусственное освещение по всему периметру. </w:t>
      </w:r>
    </w:p>
    <w:p w14:paraId="6C1ACF51" w14:textId="44DDC094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>Общеобразовательные организации подлежат оборудованию системой оповещения об угрозе совершения террористического акта и управления эвакуацией, охватывающей всю территорию общеобразовательной организации.</w:t>
      </w:r>
    </w:p>
    <w:p w14:paraId="49024B22" w14:textId="0A31B866" w:rsidR="009D27AF" w:rsidRPr="009D27AF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 xml:space="preserve">Спортивно-игровые площадки должны иметь твердое покрытие, футбольное поле - травяной покров.  </w:t>
      </w:r>
    </w:p>
    <w:p w14:paraId="2381951A" w14:textId="307BD13C" w:rsidR="00FE372A" w:rsidRPr="00FE372A" w:rsidRDefault="009D27AF" w:rsidP="009D2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>Пропуск родителей (законных представителей) обучающихся в здание общеобразовательной организации осуществляется только при предъявлении основного документа, удостоверяющего личность, с выполнением соответствующей записи в журнале учета посетителей. В общеобразовательной организации должны подготавливаться и передаваться на пост охраны утвержденные списки посетителей на мероприятия (родительские собрания, совещания и др.)</w:t>
      </w:r>
    </w:p>
    <w:p w14:paraId="1FC26AAC" w14:textId="2CE3444E" w:rsidR="00FE372A" w:rsidRPr="00FE372A" w:rsidRDefault="00FE372A" w:rsidP="00FE3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72A">
        <w:rPr>
          <w:rFonts w:ascii="Times New Roman" w:hAnsi="Times New Roman" w:cs="Times New Roman"/>
          <w:sz w:val="28"/>
          <w:szCs w:val="28"/>
        </w:rPr>
        <w:t>Под способствованием расследованию преступления понимаются действия виновного лица, совершенные как до возбуждения уголовного дела, так и после его возбуждения, направленные на оказание содействия в установлении правоохранительными органами всех обстоятельств совершения преступления, участия в нем самого лица и предоставления сведений о других участниках преступления, и может выражаться в том, что виновный представляет указанным органам информацию об обстоятельствах совершения преступления, дает правдивые и полные показания, способствующие расследованию, представляет органам следствия информацию, до того им неизвестную.</w:t>
      </w:r>
    </w:p>
    <w:p w14:paraId="2B5CEB8A" w14:textId="0083136B" w:rsidR="000C024E" w:rsidRDefault="00FE372A" w:rsidP="00FE3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72A">
        <w:rPr>
          <w:rFonts w:ascii="Times New Roman" w:hAnsi="Times New Roman" w:cs="Times New Roman"/>
          <w:sz w:val="28"/>
          <w:szCs w:val="28"/>
        </w:rPr>
        <w:t>При этом данные действия должны быть совершены добровольно, а не под давлением имеющихся улик.</w:t>
      </w:r>
    </w:p>
    <w:p w14:paraId="1EEEF699" w14:textId="25C030C4" w:rsidR="0070420A" w:rsidRDefault="0070420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2024-06-25T21:52:00Z</dcterms:created>
  <dcterms:modified xsi:type="dcterms:W3CDTF">2024-06-25T21:52:00Z</dcterms:modified>
</cp:coreProperties>
</file>