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F1658" w:rsidRPr="00EF1658" w:rsidRDefault="00EF1658" w:rsidP="00EF1658">
      <w:pPr>
        <w:pStyle w:val="a4"/>
        <w:jc w:val="center"/>
        <w:rPr>
          <w:rFonts w:ascii="Roboto" w:hAnsi="Roboto" w:cs="Helvetica"/>
          <w:sz w:val="27"/>
          <w:szCs w:val="27"/>
        </w:rPr>
      </w:pPr>
      <w:r w:rsidRPr="00EF1658">
        <w:rPr>
          <w:rStyle w:val="a7"/>
          <w:rFonts w:ascii="Roboto" w:hAnsi="Roboto" w:cs="Helvetica"/>
          <w:sz w:val="30"/>
          <w:szCs w:val="30"/>
        </w:rPr>
        <w:t>Выплата неполученных сумм пенсий в связи со смертью пенсионера</w:t>
      </w:r>
    </w:p>
    <w:p w:rsidR="00EF1658" w:rsidRDefault="00EF1658" w:rsidP="00EF1658">
      <w:pPr>
        <w:pStyle w:val="a4"/>
        <w:jc w:val="both"/>
        <w:rPr>
          <w:rFonts w:ascii="Roboto" w:hAnsi="Roboto" w:cs="Helvetica"/>
          <w:color w:val="333333"/>
          <w:sz w:val="27"/>
          <w:szCs w:val="27"/>
        </w:rPr>
      </w:pPr>
      <w:proofErr w:type="gramStart"/>
      <w:r>
        <w:rPr>
          <w:rFonts w:ascii="Roboto" w:hAnsi="Roboto" w:cs="Helvetica"/>
          <w:color w:val="333333"/>
          <w:sz w:val="27"/>
          <w:szCs w:val="27"/>
        </w:rPr>
        <w:t>Начисленные суммы пенсии, причитавшиеся пенсионеру в текущем месяце и оставшиеся неполученными в связи с его смертью в указанном месяце, не включаются в состав наследства и выплачиваются тем членам его семьи, которые относятся к лицам, указанным в части 2 статьи 10 Федерального закона от 28.12.2013 № 400-ФЗ «О страховых пенсиях» и проживали совместно с данным пенсионером на день его смерти, если обращение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за не полученными суммами указанной пенсии последовало не </w:t>
      </w:r>
      <w:proofErr w:type="gramStart"/>
      <w:r>
        <w:rPr>
          <w:rFonts w:ascii="Roboto" w:hAnsi="Roboto" w:cs="Helvetica"/>
          <w:color w:val="333333"/>
          <w:sz w:val="27"/>
          <w:szCs w:val="27"/>
        </w:rPr>
        <w:t>позднее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чем до истечения шести месяцев со дня смерти пенсионера. При обращении нескольких членов семьи за указанными суммами </w:t>
      </w:r>
      <w:proofErr w:type="gramStart"/>
      <w:r>
        <w:rPr>
          <w:rFonts w:ascii="Roboto" w:hAnsi="Roboto" w:cs="Helvetica"/>
          <w:color w:val="333333"/>
          <w:sz w:val="27"/>
          <w:szCs w:val="27"/>
        </w:rPr>
        <w:t>пенсии</w:t>
      </w:r>
      <w:proofErr w:type="gramEnd"/>
      <w:r>
        <w:rPr>
          <w:rFonts w:ascii="Roboto" w:hAnsi="Roboto" w:cs="Helvetica"/>
          <w:color w:val="333333"/>
          <w:sz w:val="27"/>
          <w:szCs w:val="27"/>
        </w:rPr>
        <w:t xml:space="preserve"> причитающиеся им суммы пенсии делятся между ними поровну.</w:t>
      </w:r>
    </w:p>
    <w:p w:rsidR="00EF1658" w:rsidRDefault="00EF1658" w:rsidP="00EF1658">
      <w:pPr>
        <w:pStyle w:val="a4"/>
        <w:jc w:val="both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При отсутствии перечисленных лиц, или истечении шести месяцев со дня смерти пенсионера, соответствующие суммы пенсии наследуются на общих основаниях, установленных Гражданским кодексом Российской Федерации.</w:t>
      </w:r>
    </w:p>
    <w:p w:rsidR="00EF1658" w:rsidRDefault="00EF1658" w:rsidP="00EF1658">
      <w:pPr>
        <w:pStyle w:val="a4"/>
        <w:jc w:val="both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Территориальный орган Пенсионного фонда Российской Федерации вправе выдать справку о суммах пенсии, не выплаченных при жизни пенсионеру, возможным наследникам умершего пенсионера до истечения шестимесячного срока на основании их заявления и запроса нотариуса.</w:t>
      </w:r>
    </w:p>
    <w:p w:rsidR="00EF1658" w:rsidRDefault="00EF1658" w:rsidP="00EF1658">
      <w:pPr>
        <w:pStyle w:val="a4"/>
        <w:jc w:val="both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 xml:space="preserve">Для выплаты неполученной суммы пенсии членам семьи умершего пенсионера, </w:t>
      </w:r>
      <w:r w:rsidRPr="00EF1658">
        <w:rPr>
          <w:rFonts w:ascii="Roboto" w:hAnsi="Roboto" w:cs="Helvetica"/>
          <w:color w:val="333333"/>
          <w:sz w:val="27"/>
          <w:szCs w:val="27"/>
          <w:u w:val="single"/>
        </w:rPr>
        <w:t>проживавшим совместно с ним на день его смерти</w:t>
      </w:r>
      <w:r>
        <w:rPr>
          <w:rFonts w:ascii="Roboto" w:hAnsi="Roboto" w:cs="Helvetica"/>
          <w:color w:val="333333"/>
          <w:sz w:val="27"/>
          <w:szCs w:val="27"/>
        </w:rPr>
        <w:t>, необходимо представить следующие документы:</w:t>
      </w:r>
    </w:p>
    <w:p w:rsidR="00EF1658" w:rsidRDefault="00EF1658" w:rsidP="00EF1658">
      <w:pPr>
        <w:numPr>
          <w:ilvl w:val="0"/>
          <w:numId w:val="2"/>
        </w:numPr>
        <w:spacing w:before="100" w:beforeAutospacing="1" w:after="100" w:afterAutospacing="1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заявление о выплате начисленной и неполученной пенсионером суммы пенсии (</w:t>
      </w:r>
      <w:hyperlink r:id="rId6" w:history="1">
        <w:r>
          <w:rPr>
            <w:rStyle w:val="a6"/>
            <w:rFonts w:ascii="Roboto" w:hAnsi="Roboto" w:cs="Helvetica"/>
            <w:sz w:val="27"/>
            <w:szCs w:val="27"/>
          </w:rPr>
          <w:t>бланк заявления</w:t>
        </w:r>
      </w:hyperlink>
      <w:r>
        <w:rPr>
          <w:rFonts w:ascii="Roboto" w:hAnsi="Roboto" w:cs="Helvetica"/>
          <w:color w:val="333333"/>
          <w:sz w:val="27"/>
          <w:szCs w:val="27"/>
        </w:rPr>
        <w:t>);</w:t>
      </w:r>
    </w:p>
    <w:p w:rsidR="00EF1658" w:rsidRDefault="00EF1658" w:rsidP="00EF1658">
      <w:pPr>
        <w:numPr>
          <w:ilvl w:val="0"/>
          <w:numId w:val="2"/>
        </w:numPr>
        <w:spacing w:before="100" w:beforeAutospacing="1" w:after="100" w:afterAutospacing="1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паспорт заявителя;</w:t>
      </w:r>
    </w:p>
    <w:p w:rsidR="00EF1658" w:rsidRDefault="00EF1658" w:rsidP="00EF1658">
      <w:pPr>
        <w:numPr>
          <w:ilvl w:val="0"/>
          <w:numId w:val="2"/>
        </w:numPr>
        <w:spacing w:before="100" w:beforeAutospacing="1" w:after="100" w:afterAutospacing="1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свидетельство о смерти;</w:t>
      </w:r>
    </w:p>
    <w:p w:rsidR="00EF1658" w:rsidRDefault="00EF1658" w:rsidP="00EF1658">
      <w:pPr>
        <w:numPr>
          <w:ilvl w:val="0"/>
          <w:numId w:val="2"/>
        </w:numPr>
        <w:spacing w:before="100" w:beforeAutospacing="1" w:after="100" w:afterAutospacing="1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документы, подтверждающие родственные отношения (свидетельство о браке, свидетельство о рождении и т.д.).</w:t>
      </w:r>
    </w:p>
    <w:p w:rsidR="00EF1658" w:rsidRDefault="00EF1658" w:rsidP="00EF1658">
      <w:pPr>
        <w:pStyle w:val="a4"/>
        <w:rPr>
          <w:rFonts w:ascii="Roboto" w:hAnsi="Roboto" w:cs="Helvetica"/>
          <w:color w:val="333333"/>
          <w:sz w:val="27"/>
          <w:szCs w:val="27"/>
        </w:rPr>
      </w:pPr>
      <w:r>
        <w:rPr>
          <w:rFonts w:ascii="Roboto" w:hAnsi="Roboto" w:cs="Helvetica"/>
          <w:color w:val="333333"/>
          <w:sz w:val="27"/>
          <w:szCs w:val="27"/>
        </w:rPr>
        <w:t>Вышеперечисленные документы предоставляются в любой территориальный орган Пенсионного фонда Российской Федерации.</w:t>
      </w:r>
    </w:p>
    <w:p w:rsidR="00EF1658" w:rsidRDefault="00EF1658" w:rsidP="007345A0">
      <w:pPr>
        <w:pStyle w:val="a4"/>
        <w:spacing w:line="300" w:lineRule="atLeast"/>
        <w:ind w:left="2124" w:firstLine="708"/>
        <w:jc w:val="right"/>
        <w:rPr>
          <w:b/>
        </w:rPr>
      </w:pP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4138DA"/>
    <w:rsid w:val="004250C0"/>
    <w:rsid w:val="00460500"/>
    <w:rsid w:val="004A0CBC"/>
    <w:rsid w:val="004A4F69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B729F"/>
    <w:rsid w:val="008E0DA7"/>
    <w:rsid w:val="00911C7E"/>
    <w:rsid w:val="00995985"/>
    <w:rsid w:val="009D0064"/>
    <w:rsid w:val="00AC5C35"/>
    <w:rsid w:val="00AF7746"/>
    <w:rsid w:val="00B26EAD"/>
    <w:rsid w:val="00B370C6"/>
    <w:rsid w:val="00BB2872"/>
    <w:rsid w:val="00C51924"/>
    <w:rsid w:val="00D60171"/>
    <w:rsid w:val="00DB70F9"/>
    <w:rsid w:val="00DC47B0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files/id/zhiznsit/pens/2016/Zayvlenie_viiplata_ne_polychenay_pensiy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2020-02-13T14:56:00Z</dcterms:created>
  <dcterms:modified xsi:type="dcterms:W3CDTF">2020-02-13T14:56:00Z</dcterms:modified>
</cp:coreProperties>
</file>