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845AD5" w:rsidRPr="00855D0C" w:rsidTr="00972D0B">
        <w:trPr>
          <w:trHeight w:val="1753"/>
        </w:trPr>
        <w:tc>
          <w:tcPr>
            <w:tcW w:w="2165" w:type="dxa"/>
          </w:tcPr>
          <w:p w:rsidR="00845AD5" w:rsidRPr="00855D0C" w:rsidRDefault="00972D0B" w:rsidP="003B61F9">
            <w:r w:rsidRPr="00855D0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845AD5" w:rsidRPr="00855D0C" w:rsidRDefault="00D2052C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D2052C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en-US"/>
              </w:rPr>
              <w:pict>
                <v:line id="_x0000_s1026" style="position:absolute;left:0;text-align:left;z-index:251657216;mso-position-horizontal-relative:text;mso-position-vertical-relative:text" from="0,10.9pt" to="378.45pt,10.9pt" strokeweight="1.5pt"/>
              </w:pict>
            </w:r>
            <w:proofErr w:type="gramStart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</w:t>
            </w:r>
            <w:proofErr w:type="gramEnd"/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 xml:space="preserve"> Р О К У Р А Т У Р А</w:t>
            </w:r>
          </w:p>
          <w:p w:rsidR="00845AD5" w:rsidRPr="00855D0C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855D0C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845AD5" w:rsidRPr="00855D0C" w:rsidRDefault="00D2052C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D2052C">
              <w:rPr>
                <w:rFonts w:ascii="Arial Black" w:hAnsi="Arial Black"/>
                <w:b/>
                <w:bCs/>
                <w:noProof/>
                <w:spacing w:val="8"/>
                <w:lang w:eastAsia="en-US"/>
              </w:rPr>
              <w:pict>
                <v:line id="_x0000_s1027" style="position:absolute;z-index:251658240" from="0,4.8pt" to="378.45pt,4.8pt" strokeweight="4.5pt"/>
              </w:pict>
            </w:r>
          </w:p>
        </w:tc>
      </w:tr>
    </w:tbl>
    <w:p w:rsidR="00342A21" w:rsidRDefault="001553D4" w:rsidP="00342A2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554600"/>
      <w:r>
        <w:rPr>
          <w:rFonts w:ascii="Times New Roman" w:hAnsi="Times New Roman" w:cs="Times New Roman"/>
          <w:b/>
          <w:bCs/>
          <w:sz w:val="28"/>
          <w:szCs w:val="28"/>
        </w:rPr>
        <w:t>Новые м</w:t>
      </w:r>
      <w:r w:rsidRPr="001553D4">
        <w:rPr>
          <w:rFonts w:ascii="Times New Roman" w:hAnsi="Times New Roman" w:cs="Times New Roman"/>
          <w:b/>
          <w:bCs/>
          <w:sz w:val="28"/>
          <w:szCs w:val="28"/>
        </w:rPr>
        <w:t>еры поддержки для заемщиков с плавающими ставками по кредиту</w:t>
      </w:r>
    </w:p>
    <w:p w:rsidR="001553D4" w:rsidRPr="00855D0C" w:rsidRDefault="001553D4" w:rsidP="00342A2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53D4" w:rsidRDefault="001553D4" w:rsidP="00155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4">
        <w:rPr>
          <w:rFonts w:ascii="Times New Roman" w:hAnsi="Times New Roman" w:cs="Times New Roman"/>
          <w:sz w:val="28"/>
          <w:szCs w:val="28"/>
        </w:rPr>
        <w:t xml:space="preserve">26 марта 2022 года вступил в силу Федеральный закон от 26.03.2022 № 71-ФЗ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1553D4">
        <w:rPr>
          <w:rFonts w:ascii="Times New Roman" w:hAnsi="Times New Roman" w:cs="Times New Roman"/>
          <w:sz w:val="28"/>
          <w:szCs w:val="28"/>
        </w:rPr>
        <w:t xml:space="preserve">– Закон № 71-ФЗ), предусматривающий специальные условия кредитования для лиц с плавающей ставкой по кредитным договорам. </w:t>
      </w:r>
    </w:p>
    <w:p w:rsidR="001553D4" w:rsidRPr="001553D4" w:rsidRDefault="001553D4" w:rsidP="00155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Плавающая </w:t>
      </w:r>
      <w:r w:rsidRPr="001553D4">
        <w:rPr>
          <w:rFonts w:ascii="Times New Roman" w:hAnsi="Times New Roman" w:cs="Times New Roman"/>
          <w:sz w:val="28"/>
          <w:szCs w:val="28"/>
        </w:rPr>
        <w:t>ставка, как правило, зависит от внешних экономических факторов, чаще всего – от ключевой ставки Ц</w:t>
      </w:r>
      <w:r>
        <w:rPr>
          <w:rFonts w:ascii="Times New Roman" w:hAnsi="Times New Roman" w:cs="Times New Roman"/>
          <w:sz w:val="28"/>
          <w:szCs w:val="28"/>
        </w:rPr>
        <w:t>ентрального банка</w:t>
      </w:r>
      <w:r w:rsidRPr="001553D4">
        <w:rPr>
          <w:rFonts w:ascii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1553D4">
        <w:rPr>
          <w:rFonts w:ascii="Times New Roman" w:hAnsi="Times New Roman" w:cs="Times New Roman"/>
          <w:sz w:val="28"/>
          <w:szCs w:val="28"/>
        </w:rPr>
        <w:t>с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553D4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ключевая ставка</w:t>
      </w:r>
      <w:r w:rsidRPr="001553D4">
        <w:rPr>
          <w:rFonts w:ascii="Times New Roman" w:hAnsi="Times New Roman" w:cs="Times New Roman"/>
          <w:sz w:val="28"/>
          <w:szCs w:val="28"/>
        </w:rPr>
        <w:t xml:space="preserve"> составляет 20 %. В связи с этим такие заемщики могут испытывать трудности в исполнении кредитных обязательств.</w:t>
      </w:r>
    </w:p>
    <w:p w:rsidR="001553D4" w:rsidRDefault="001553D4" w:rsidP="00155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4">
        <w:rPr>
          <w:rFonts w:ascii="Times New Roman" w:hAnsi="Times New Roman" w:cs="Times New Roman"/>
          <w:sz w:val="28"/>
          <w:szCs w:val="28"/>
        </w:rPr>
        <w:t xml:space="preserve">Закон № 71-ФЗ дополнил Федеральный закон от 03.04.2020 № 106-ФЗ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1553D4">
        <w:rPr>
          <w:rFonts w:ascii="Times New Roman" w:hAnsi="Times New Roman" w:cs="Times New Roman"/>
          <w:sz w:val="28"/>
          <w:szCs w:val="28"/>
        </w:rPr>
        <w:t>– Закон № 106-ФЗ) двумя новыми статьями – ст. 7.1 и ст. 7.2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1553D4">
        <w:rPr>
          <w:rFonts w:ascii="Times New Roman" w:hAnsi="Times New Roman" w:cs="Times New Roman"/>
          <w:sz w:val="28"/>
          <w:szCs w:val="28"/>
        </w:rPr>
        <w:t xml:space="preserve"> предусматривают возможность предоставления кредитором заемщикам-организациям переходного периода, в течение которого проценты начисляются в особом порядке. </w:t>
      </w:r>
    </w:p>
    <w:p w:rsidR="001553D4" w:rsidRPr="001553D4" w:rsidRDefault="001553D4" w:rsidP="00155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553D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53D4">
        <w:rPr>
          <w:rFonts w:ascii="Times New Roman" w:hAnsi="Times New Roman" w:cs="Times New Roman"/>
          <w:sz w:val="28"/>
          <w:szCs w:val="28"/>
        </w:rPr>
        <w:t>. 2, 8. 9 ст. 7.1 Закона № 106-ФЗ</w:t>
      </w:r>
      <w:r w:rsidRPr="0015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53D4">
        <w:rPr>
          <w:rFonts w:ascii="Times New Roman" w:hAnsi="Times New Roman" w:cs="Times New Roman"/>
          <w:sz w:val="28"/>
          <w:szCs w:val="28"/>
        </w:rPr>
        <w:t>ереходный период для организаций означает, что в течение 3 месяцев действия кредитного договора проценты, начисляемые на сумму основного долга, не могу</w:t>
      </w:r>
      <w:r>
        <w:rPr>
          <w:rFonts w:ascii="Times New Roman" w:hAnsi="Times New Roman" w:cs="Times New Roman"/>
          <w:sz w:val="28"/>
          <w:szCs w:val="28"/>
        </w:rPr>
        <w:t>т превышать следующие значения</w:t>
      </w:r>
      <w:r w:rsidRPr="001553D4">
        <w:rPr>
          <w:rFonts w:ascii="Times New Roman" w:hAnsi="Times New Roman" w:cs="Times New Roman"/>
          <w:sz w:val="28"/>
          <w:szCs w:val="28"/>
        </w:rPr>
        <w:t>:</w:t>
      </w:r>
    </w:p>
    <w:p w:rsidR="001553D4" w:rsidRPr="001553D4" w:rsidRDefault="001553D4" w:rsidP="001553D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4">
        <w:rPr>
          <w:rFonts w:ascii="Times New Roman" w:hAnsi="Times New Roman" w:cs="Times New Roman"/>
          <w:sz w:val="28"/>
          <w:szCs w:val="28"/>
        </w:rPr>
        <w:t>12,5 % –  в первом месяце;</w:t>
      </w:r>
    </w:p>
    <w:p w:rsidR="001553D4" w:rsidRPr="001553D4" w:rsidRDefault="001553D4" w:rsidP="001553D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4">
        <w:rPr>
          <w:rFonts w:ascii="Times New Roman" w:hAnsi="Times New Roman" w:cs="Times New Roman"/>
          <w:sz w:val="28"/>
          <w:szCs w:val="28"/>
        </w:rPr>
        <w:t>13,5 % – во втором месяце;</w:t>
      </w:r>
    </w:p>
    <w:p w:rsidR="001553D4" w:rsidRPr="001553D4" w:rsidRDefault="001553D4" w:rsidP="001553D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4">
        <w:rPr>
          <w:rFonts w:ascii="Times New Roman" w:hAnsi="Times New Roman" w:cs="Times New Roman"/>
          <w:sz w:val="28"/>
          <w:szCs w:val="28"/>
        </w:rPr>
        <w:t>16,5 % – в третьем месяце.</w:t>
      </w:r>
    </w:p>
    <w:p w:rsidR="001553D4" w:rsidRPr="001553D4" w:rsidRDefault="001553D4" w:rsidP="001553D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Pr="00703A85" w:rsidRDefault="00342A21" w:rsidP="001553D4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54684B" w:rsidRPr="00855D0C" w:rsidRDefault="0054684B" w:rsidP="0054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0C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</w:t>
      </w:r>
      <w:r w:rsidR="00BE69E1" w:rsidRPr="00855D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5D0C">
        <w:rPr>
          <w:rFonts w:ascii="Times New Roman" w:hAnsi="Times New Roman" w:cs="Times New Roman"/>
          <w:sz w:val="28"/>
          <w:szCs w:val="28"/>
        </w:rPr>
        <w:t>Е.Н. Шелест</w:t>
      </w:r>
    </w:p>
    <w:bookmarkEnd w:id="0"/>
    <w:p w:rsidR="0054684B" w:rsidRDefault="0054684B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3D4" w:rsidRDefault="001553D4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3D4" w:rsidRDefault="001553D4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3D4" w:rsidRDefault="001553D4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Pr="00855D0C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D0B" w:rsidRPr="00855D0C" w:rsidRDefault="00703A85" w:rsidP="0085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Ромас</w:t>
      </w:r>
      <w:proofErr w:type="spellEnd"/>
      <w:r w:rsidR="0054684B" w:rsidRPr="00855D0C">
        <w:rPr>
          <w:rFonts w:ascii="Times New Roman" w:hAnsi="Times New Roman" w:cs="Times New Roman"/>
          <w:bCs/>
          <w:sz w:val="24"/>
          <w:szCs w:val="24"/>
        </w:rPr>
        <w:t xml:space="preserve">, тел.8 (34678) </w:t>
      </w:r>
      <w:r>
        <w:rPr>
          <w:rFonts w:ascii="Times New Roman" w:hAnsi="Times New Roman" w:cs="Times New Roman"/>
          <w:bCs/>
          <w:sz w:val="24"/>
          <w:szCs w:val="24"/>
        </w:rPr>
        <w:t>20-831</w:t>
      </w:r>
    </w:p>
    <w:sectPr w:rsidR="00972D0B" w:rsidRPr="00855D0C" w:rsidSect="00703A8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220"/>
    <w:multiLevelType w:val="hybridMultilevel"/>
    <w:tmpl w:val="099298F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C5DC3"/>
    <w:multiLevelType w:val="hybridMultilevel"/>
    <w:tmpl w:val="B00EB75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C97FA5"/>
    <w:multiLevelType w:val="hybridMultilevel"/>
    <w:tmpl w:val="6A1ACF12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1874"/>
    <w:rsid w:val="00041CB4"/>
    <w:rsid w:val="00043595"/>
    <w:rsid w:val="0005323E"/>
    <w:rsid w:val="0013026E"/>
    <w:rsid w:val="001553D4"/>
    <w:rsid w:val="00167C8C"/>
    <w:rsid w:val="00187FFD"/>
    <w:rsid w:val="001934DD"/>
    <w:rsid w:val="001D4795"/>
    <w:rsid w:val="00206CB2"/>
    <w:rsid w:val="0026572A"/>
    <w:rsid w:val="002A56F4"/>
    <w:rsid w:val="002A66FA"/>
    <w:rsid w:val="002D1C93"/>
    <w:rsid w:val="00342A21"/>
    <w:rsid w:val="00357E79"/>
    <w:rsid w:val="004B0A59"/>
    <w:rsid w:val="004B4F12"/>
    <w:rsid w:val="0054684B"/>
    <w:rsid w:val="00564A81"/>
    <w:rsid w:val="006144F6"/>
    <w:rsid w:val="00656999"/>
    <w:rsid w:val="00703A85"/>
    <w:rsid w:val="00704A08"/>
    <w:rsid w:val="00706D09"/>
    <w:rsid w:val="007103BC"/>
    <w:rsid w:val="0076099C"/>
    <w:rsid w:val="007A583C"/>
    <w:rsid w:val="00845AD5"/>
    <w:rsid w:val="0085034C"/>
    <w:rsid w:val="00855D0C"/>
    <w:rsid w:val="00885627"/>
    <w:rsid w:val="00942A40"/>
    <w:rsid w:val="009717A4"/>
    <w:rsid w:val="00972D0B"/>
    <w:rsid w:val="00981EB5"/>
    <w:rsid w:val="009B1E05"/>
    <w:rsid w:val="009C7D3A"/>
    <w:rsid w:val="009F7BDA"/>
    <w:rsid w:val="00A03A54"/>
    <w:rsid w:val="00A34AC6"/>
    <w:rsid w:val="00A66BDB"/>
    <w:rsid w:val="00A719CA"/>
    <w:rsid w:val="00A94FA6"/>
    <w:rsid w:val="00AB2D83"/>
    <w:rsid w:val="00B1419A"/>
    <w:rsid w:val="00B60F36"/>
    <w:rsid w:val="00B908B4"/>
    <w:rsid w:val="00BB0249"/>
    <w:rsid w:val="00BD1856"/>
    <w:rsid w:val="00BD678F"/>
    <w:rsid w:val="00BE69E1"/>
    <w:rsid w:val="00BF3938"/>
    <w:rsid w:val="00C109E2"/>
    <w:rsid w:val="00C43ECA"/>
    <w:rsid w:val="00C649E8"/>
    <w:rsid w:val="00CF5B91"/>
    <w:rsid w:val="00D2052C"/>
    <w:rsid w:val="00D57D43"/>
    <w:rsid w:val="00E20DA9"/>
    <w:rsid w:val="00E67193"/>
    <w:rsid w:val="00EA0916"/>
    <w:rsid w:val="00EA6960"/>
    <w:rsid w:val="00EB2373"/>
    <w:rsid w:val="00EE62A1"/>
    <w:rsid w:val="00F63927"/>
    <w:rsid w:val="00F953DB"/>
    <w:rsid w:val="00FC6C88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AC42-FAD8-4772-A82F-C332CA46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2021-10-28T15:31:00Z</cp:lastPrinted>
  <dcterms:created xsi:type="dcterms:W3CDTF">2021-10-28T15:32:00Z</dcterms:created>
  <dcterms:modified xsi:type="dcterms:W3CDTF">2022-04-07T07:18:00Z</dcterms:modified>
</cp:coreProperties>
</file>