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AB5DD3" w:rsidRDefault="00AB5DD3" w:rsidP="00AB5DD3">
      <w:pPr>
        <w:jc w:val="both"/>
        <w:rPr>
          <w:b/>
        </w:rPr>
      </w:pPr>
      <w:r w:rsidRPr="00AB5DD3">
        <w:rPr>
          <w:b/>
        </w:rPr>
        <w:t>Кем осуществляется защита прав несовершеннолетних?</w:t>
      </w:r>
    </w:p>
    <w:p w:rsidR="00AB5DD3" w:rsidRDefault="00AB5DD3" w:rsidP="00AB5DD3">
      <w:pPr>
        <w:jc w:val="both"/>
      </w:pPr>
      <w:bookmarkStart w:id="0" w:name="_GoBack"/>
      <w:bookmarkEnd w:id="0"/>
    </w:p>
    <w:p w:rsidR="00AB5DD3" w:rsidRDefault="00AB5DD3" w:rsidP="00AB5DD3">
      <w:pPr>
        <w:ind w:firstLine="709"/>
        <w:jc w:val="both"/>
      </w:pPr>
      <w:r>
        <w:t xml:space="preserve">Право ребенка на защиту своих прав и законных интересов определено ст. 56 СК РФ. Право ребенка на защиту своих прав и законных интересов корреспондирует с соответствующими </w:t>
      </w:r>
      <w:proofErr w:type="gramStart"/>
      <w:r>
        <w:t>обязанностями</w:t>
      </w:r>
      <w:proofErr w:type="gramEnd"/>
      <w:r>
        <w:t xml:space="preserve"> прежде всего родителей (лиц, их заменяющих), а также государственных и муниципальных органов, в частности органов опеки и попечительства, прокуратуры и суда.</w:t>
      </w:r>
    </w:p>
    <w:p w:rsidR="00AB5DD3" w:rsidRDefault="00AB5DD3" w:rsidP="00AB5DD3">
      <w:pPr>
        <w:ind w:firstLine="709"/>
        <w:jc w:val="both"/>
      </w:pPr>
      <w:r>
        <w:t>Защиту прав ребенка осуществляют:</w:t>
      </w:r>
    </w:p>
    <w:p w:rsidR="00AB5DD3" w:rsidRDefault="00AB5DD3" w:rsidP="00AB5DD3">
      <w:pPr>
        <w:ind w:firstLine="709"/>
        <w:jc w:val="both"/>
      </w:pPr>
      <w:r>
        <w:t xml:space="preserve">- </w:t>
      </w:r>
      <w:r>
        <w:t>родители, иные законные представители;</w:t>
      </w:r>
    </w:p>
    <w:p w:rsidR="00AB5DD3" w:rsidRDefault="00AB5DD3" w:rsidP="00AB5DD3">
      <w:pPr>
        <w:ind w:firstLine="709"/>
        <w:jc w:val="both"/>
      </w:pPr>
      <w:r>
        <w:t xml:space="preserve">- </w:t>
      </w:r>
      <w:r>
        <w:t>органы опеки и попечительства;</w:t>
      </w:r>
    </w:p>
    <w:p w:rsidR="00AB5DD3" w:rsidRDefault="00AB5DD3" w:rsidP="00AB5DD3">
      <w:pPr>
        <w:ind w:firstLine="709"/>
        <w:jc w:val="both"/>
      </w:pPr>
      <w:r>
        <w:t xml:space="preserve">- </w:t>
      </w:r>
      <w:r>
        <w:t>суд;</w:t>
      </w:r>
    </w:p>
    <w:p w:rsidR="00AB5DD3" w:rsidRDefault="00AB5DD3" w:rsidP="00AB5DD3">
      <w:pPr>
        <w:ind w:firstLine="709"/>
        <w:jc w:val="both"/>
      </w:pPr>
      <w:r>
        <w:t xml:space="preserve">- </w:t>
      </w:r>
      <w:r>
        <w:t>прокурор;</w:t>
      </w:r>
    </w:p>
    <w:p w:rsidR="00AB5DD3" w:rsidRDefault="00AB5DD3" w:rsidP="00AB5DD3">
      <w:pPr>
        <w:ind w:firstLine="709"/>
        <w:jc w:val="both"/>
      </w:pPr>
      <w:r>
        <w:t xml:space="preserve">- </w:t>
      </w:r>
      <w:r>
        <w:t>другие государственные органы и органы местного самоуправления в пределах своей компетенции;</w:t>
      </w:r>
    </w:p>
    <w:p w:rsidR="00AB5DD3" w:rsidRDefault="00AB5DD3" w:rsidP="00AB5DD3">
      <w:pPr>
        <w:ind w:firstLine="709"/>
        <w:jc w:val="both"/>
      </w:pPr>
      <w:r>
        <w:t xml:space="preserve">- </w:t>
      </w:r>
      <w:r>
        <w:t>должностные лица организаций и иные граждане, которым станет известно об угрозе жизни или здоровью ребенка, о нарушении его прав и законных интересов в части уведомления об этом органов опеки и попечительства;</w:t>
      </w:r>
    </w:p>
    <w:p w:rsidR="00AB5DD3" w:rsidRDefault="00AB5DD3" w:rsidP="00AB5DD3">
      <w:pPr>
        <w:ind w:firstLine="709"/>
        <w:jc w:val="both"/>
      </w:pPr>
      <w:r>
        <w:t xml:space="preserve">- </w:t>
      </w:r>
      <w:r>
        <w:t>сам ребенок, который вправе самостоятельно обращаться за защитой своих прав, например, в случаях злоупотребления родителями своими правами либо неисполнения ими своих обязанностей: с 14 лет ребенок может обратиться в суд, а до достижения возраста 14 лет - в органы опеки и попечительства. Кроме того, ребенок вправе обратиться в органы внутренних дел в том случае, если в действиях лиц, нарушающих его права, имеется состав преступления.</w:t>
      </w:r>
    </w:p>
    <w:p w:rsidR="00CD27CF" w:rsidRDefault="00AB5DD3" w:rsidP="00AB5DD3">
      <w:pPr>
        <w:ind w:firstLine="709"/>
        <w:jc w:val="both"/>
      </w:pPr>
      <w:r>
        <w:t>Пунктом 3 ст. 56 СК РФ установлена обязанность должностных лиц организаций и иных граждан, которым станет известно об угрозе жизни или здоровью ребенка, о нарушении его прав и законных интересов, сообщить об этом в орган опеки и попечительства по месту фактического нахождения ребенка.</w:t>
      </w:r>
    </w:p>
    <w:p w:rsidR="00AB5DD3" w:rsidRDefault="00AB5DD3" w:rsidP="00AB5DD3">
      <w:pPr>
        <w:ind w:firstLine="709"/>
        <w:jc w:val="both"/>
      </w:pPr>
    </w:p>
    <w:p w:rsidR="00AB5DD3" w:rsidRPr="003A5668" w:rsidRDefault="00AB5DD3" w:rsidP="00AB5DD3">
      <w:pPr>
        <w:ind w:firstLine="709"/>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07BE"/>
    <w:rsid w:val="003625C2"/>
    <w:rsid w:val="00371406"/>
    <w:rsid w:val="00383888"/>
    <w:rsid w:val="003909F7"/>
    <w:rsid w:val="0039267A"/>
    <w:rsid w:val="003949D2"/>
    <w:rsid w:val="00395C81"/>
    <w:rsid w:val="003A2230"/>
    <w:rsid w:val="003A51FE"/>
    <w:rsid w:val="003A5668"/>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1EEC"/>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5DD3"/>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27CF"/>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20049967">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198853376">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68887058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55210296">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91611988">
      <w:bodyDiv w:val="1"/>
      <w:marLeft w:val="0"/>
      <w:marRight w:val="0"/>
      <w:marTop w:val="0"/>
      <w:marBottom w:val="0"/>
      <w:divBdr>
        <w:top w:val="none" w:sz="0" w:space="0" w:color="auto"/>
        <w:left w:val="none" w:sz="0" w:space="0" w:color="auto"/>
        <w:bottom w:val="none" w:sz="0" w:space="0" w:color="auto"/>
        <w:right w:val="none" w:sz="0" w:space="0" w:color="auto"/>
      </w:divBdr>
    </w:div>
    <w:div w:id="213905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49F8B2-B4BF-40B0-A197-CB32B9DF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269</Words>
  <Characters>1537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2020-07-02T18:50:00Z</dcterms:created>
  <dcterms:modified xsi:type="dcterms:W3CDTF">2020-07-02T18:50:00Z</dcterms:modified>
</cp:coreProperties>
</file>