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C30474" w:rsidRDefault="009A3971" w:rsidP="00AB5DD3">
      <w:pPr>
        <w:jc w:val="both"/>
        <w:rPr>
          <w:b/>
        </w:rPr>
      </w:pPr>
      <w:r w:rsidRPr="009A3971">
        <w:rPr>
          <w:b/>
        </w:rPr>
        <w:t>Об ответственности за уклонение от уплаты алиментов на содержание детей или нетрудоспособных родителей</w:t>
      </w:r>
    </w:p>
    <w:p w:rsidR="009A3971" w:rsidRDefault="009A3971" w:rsidP="00AB5DD3">
      <w:pPr>
        <w:jc w:val="both"/>
      </w:pPr>
    </w:p>
    <w:p w:rsidR="003832CB" w:rsidRDefault="009A3971" w:rsidP="009A3971">
      <w:pPr>
        <w:ind w:firstLine="709"/>
        <w:jc w:val="both"/>
      </w:pPr>
      <w:r w:rsidRPr="009A3971">
        <w:t xml:space="preserve">Понятие злостности уклонения в законе не определено и является оценочным. В судебной практике под данным признаком, как правило, понимается повторность совершения аналогичного преступления, уклонение от уплаты, несмотря на соответствующее предупреждение, розыск лица, обязанного выплачивать алименты и т.д. </w:t>
      </w:r>
    </w:p>
    <w:p w:rsidR="003832CB" w:rsidRDefault="009A3971" w:rsidP="009A3971">
      <w:pPr>
        <w:ind w:firstLine="709"/>
        <w:jc w:val="both"/>
      </w:pPr>
      <w:r w:rsidRPr="009A3971">
        <w:t>Наказание по ст.157 УК РФ может быть назначено в виде исправительны</w:t>
      </w:r>
      <w:r w:rsidR="003832CB">
        <w:t>х</w:t>
      </w:r>
      <w:r w:rsidRPr="009A3971">
        <w:t xml:space="preserve"> работ на срок до одного года, либо принудительных работ на тот же срок, либо ареста на срок до 3 месяцев, либо лишения свободы на срок до одного года. </w:t>
      </w:r>
    </w:p>
    <w:p w:rsidR="003832CB" w:rsidRDefault="009A3971" w:rsidP="009A3971">
      <w:pPr>
        <w:ind w:firstLine="709"/>
        <w:jc w:val="both"/>
      </w:pPr>
      <w:bookmarkStart w:id="0" w:name="_GoBack"/>
      <w:bookmarkEnd w:id="0"/>
      <w:proofErr w:type="gramStart"/>
      <w:r w:rsidRPr="009A3971">
        <w:t xml:space="preserve">Субъект  преступления, предусмотренного ч. 1 ст. 157 УК РФ, является специальным, а именно: отец и (или) мать, записанные родителями ребенка в книге записей рождений; лица, отцовство которых установлено в порядке, предусмотренном ст. 49 Семейного кодекса Российской Федерации, а также родители,  лишенные родительских прав. </w:t>
      </w:r>
      <w:proofErr w:type="gramEnd"/>
    </w:p>
    <w:p w:rsidR="00C30474" w:rsidRDefault="009A3971" w:rsidP="009A3971">
      <w:pPr>
        <w:ind w:firstLine="709"/>
        <w:jc w:val="both"/>
      </w:pPr>
      <w:r w:rsidRPr="009A3971">
        <w:t>Субъект преступления, предусмотренного ч. 2 ст. 157 УК РФ тоже специальный, а именно: трудоспособные совершеннолетние дети лица, на содержание которого решением суда взысканы алименты. В соответствии со ст. 87 Семейного кодекса РФ дети освобождаются от уплаты алиментов родителям, лишенным родительских прав.</w:t>
      </w:r>
    </w:p>
    <w:p w:rsidR="00C30474" w:rsidRDefault="00C30474" w:rsidP="001F00C7">
      <w:pPr>
        <w:spacing w:line="240" w:lineRule="exact"/>
        <w:jc w:val="both"/>
      </w:pPr>
    </w:p>
    <w:p w:rsidR="009A3971" w:rsidRDefault="009A3971" w:rsidP="001F00C7">
      <w:pPr>
        <w:spacing w:line="240" w:lineRule="exact"/>
        <w:jc w:val="both"/>
      </w:pPr>
    </w:p>
    <w:p w:rsidR="00BF5230" w:rsidRDefault="00FF5374" w:rsidP="001F00C7">
      <w:pPr>
        <w:spacing w:line="240" w:lineRule="exact"/>
        <w:jc w:val="both"/>
      </w:pPr>
      <w:r>
        <w:t>Прокуратура</w:t>
      </w:r>
    </w:p>
    <w:p w:rsidR="00EF1CEE" w:rsidRPr="00C30474" w:rsidRDefault="00FF5374" w:rsidP="001F00C7">
      <w:pPr>
        <w:spacing w:line="240" w:lineRule="exact"/>
        <w:jc w:val="both"/>
      </w:pPr>
      <w:r>
        <w:t>Октябрьского района</w:t>
      </w:r>
    </w:p>
    <w:sectPr w:rsidR="00EF1CEE" w:rsidRPr="00C30474"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162B"/>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2960"/>
    <w:rsid w:val="003560D2"/>
    <w:rsid w:val="003572EF"/>
    <w:rsid w:val="003607BE"/>
    <w:rsid w:val="003625C2"/>
    <w:rsid w:val="00371406"/>
    <w:rsid w:val="003832CB"/>
    <w:rsid w:val="00383888"/>
    <w:rsid w:val="003909F7"/>
    <w:rsid w:val="0039267A"/>
    <w:rsid w:val="003949D2"/>
    <w:rsid w:val="00395C81"/>
    <w:rsid w:val="003A2230"/>
    <w:rsid w:val="003A51FE"/>
    <w:rsid w:val="003A5668"/>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1EEC"/>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14E3B"/>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71"/>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5DD3"/>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0474"/>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27CF"/>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19162B"/>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CD27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19162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CD27CF"/>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3849057">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20049967">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076087">
      <w:bodyDiv w:val="1"/>
      <w:marLeft w:val="0"/>
      <w:marRight w:val="0"/>
      <w:marTop w:val="0"/>
      <w:marBottom w:val="0"/>
      <w:divBdr>
        <w:top w:val="none" w:sz="0" w:space="0" w:color="auto"/>
        <w:left w:val="none" w:sz="0" w:space="0" w:color="auto"/>
        <w:bottom w:val="none" w:sz="0" w:space="0" w:color="auto"/>
        <w:right w:val="none" w:sz="0" w:space="0" w:color="auto"/>
      </w:divBdr>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198853376">
      <w:bodyDiv w:val="1"/>
      <w:marLeft w:val="0"/>
      <w:marRight w:val="0"/>
      <w:marTop w:val="0"/>
      <w:marBottom w:val="0"/>
      <w:divBdr>
        <w:top w:val="none" w:sz="0" w:space="0" w:color="auto"/>
        <w:left w:val="none" w:sz="0" w:space="0" w:color="auto"/>
        <w:bottom w:val="none" w:sz="0" w:space="0" w:color="auto"/>
        <w:right w:val="none" w:sz="0" w:space="0" w:color="auto"/>
      </w:divBdr>
    </w:div>
    <w:div w:id="1241019320">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5990194">
      <w:bodyDiv w:val="1"/>
      <w:marLeft w:val="0"/>
      <w:marRight w:val="0"/>
      <w:marTop w:val="0"/>
      <w:marBottom w:val="0"/>
      <w:divBdr>
        <w:top w:val="none" w:sz="0" w:space="0" w:color="auto"/>
        <w:left w:val="none" w:sz="0" w:space="0" w:color="auto"/>
        <w:bottom w:val="none" w:sz="0" w:space="0" w:color="auto"/>
        <w:right w:val="none" w:sz="0" w:space="0" w:color="auto"/>
      </w:divBdr>
    </w:div>
    <w:div w:id="168887058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54005814">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1340691">
      <w:bodyDiv w:val="1"/>
      <w:marLeft w:val="0"/>
      <w:marRight w:val="0"/>
      <w:marTop w:val="0"/>
      <w:marBottom w:val="0"/>
      <w:divBdr>
        <w:top w:val="none" w:sz="0" w:space="0" w:color="auto"/>
        <w:left w:val="none" w:sz="0" w:space="0" w:color="auto"/>
        <w:bottom w:val="none" w:sz="0" w:space="0" w:color="auto"/>
        <w:right w:val="none" w:sz="0" w:space="0" w:color="auto"/>
      </w:divBdr>
    </w:div>
    <w:div w:id="1807507636">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68987337">
      <w:bodyDiv w:val="1"/>
      <w:marLeft w:val="0"/>
      <w:marRight w:val="0"/>
      <w:marTop w:val="0"/>
      <w:marBottom w:val="0"/>
      <w:divBdr>
        <w:top w:val="none" w:sz="0" w:space="0" w:color="auto"/>
        <w:left w:val="none" w:sz="0" w:space="0" w:color="auto"/>
        <w:bottom w:val="none" w:sz="0" w:space="0" w:color="auto"/>
        <w:right w:val="none" w:sz="0" w:space="0" w:color="auto"/>
      </w:divBdr>
    </w:div>
    <w:div w:id="1955210296">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91611988">
      <w:bodyDiv w:val="1"/>
      <w:marLeft w:val="0"/>
      <w:marRight w:val="0"/>
      <w:marTop w:val="0"/>
      <w:marBottom w:val="0"/>
      <w:divBdr>
        <w:top w:val="none" w:sz="0" w:space="0" w:color="auto"/>
        <w:left w:val="none" w:sz="0" w:space="0" w:color="auto"/>
        <w:bottom w:val="none" w:sz="0" w:space="0" w:color="auto"/>
        <w:right w:val="none" w:sz="0" w:space="0" w:color="auto"/>
      </w:divBdr>
    </w:div>
    <w:div w:id="213905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4CC22-8ECD-4147-9F92-22060EC02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1272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3</cp:revision>
  <cp:lastPrinted>2020-01-21T12:00:00Z</cp:lastPrinted>
  <dcterms:created xsi:type="dcterms:W3CDTF">2020-07-02T19:01:00Z</dcterms:created>
  <dcterms:modified xsi:type="dcterms:W3CDTF">2020-07-02T19:01:00Z</dcterms:modified>
</cp:coreProperties>
</file>